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compétence à un EPCI. Marchés publics de travaux. Sort de la garantie décennale. Date d’introduction du recours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principes qui régissent la garantie décennale des constructeurs que l’action ouverte au maître de l’ouvrage à raison des dommages qui en compromettent la solidité ou le rendent impropre à sa destination, accompagne l’immeuble et se transmet aux acquéreurs ou à l’EPCI compétent.</w:t>
      </w:r>
    </w:p>
    <w:p>
      <w:pPr/>
      <w:r>
        <w:rPr/>
        <w:t xml:space="preserve">En l’espèce, la compétence communale en matière de voirie avait été transférée à une métropole. La Cour administrative de Marseille a commis une erreur de droit en relevant que la commune avait seule qualité, à la date de l’apparition du désordre, pour engager la responsabilité décennale des constructeurs alors que l’intérêt pour agir du maître de l’ouvrage se juge à la date d’introduction du recours (CE, 31 juillet 2025, </w:t>
      </w:r>
      <w:r>
        <w:rPr>
          <w:i w:val="1"/>
          <w:iCs w:val="1"/>
        </w:rPr>
        <w:t xml:space="preserve">commune de Carqueiranne et métropole Toulon-Provence-Méditerranée</w:t>
      </w:r>
      <w:r>
        <w:rPr/>
        <w:t xml:space="preserve">, n° 502246).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2026-04-01T00:23:49+02:00</dcterms:created>
  <dcterms:modified xsi:type="dcterms:W3CDTF">2026-04-01T00:23:49+02:00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