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rPr/>
        <w:t xml:space="preserve">Conformité des systèmes d'assainissement. Instruction n° TECL2518006J du 4 juillet 2025</w:t>
      </w:r>
    </w:p>
    <w:p>
      <w:pPr>
        <w:pStyle w:val="Heading2"/>
      </w:pPr>
      <w:r>
        <w:rPr/>
        <w:t xml:space="preserve">Revue - Intercommunalité</w:t>
      </w:r>
    </w:p>
    <w:p>
      <w:pPr>
        <w:pStyle w:val="Heading3"/>
      </w:pPr>
      <w:r>
        <w:rPr/>
        <w:t xml:space="preserve">Source - Circulaire</w:t>
      </w:r>
    </w:p>
    <w:p/>
    <w:p>
      <w:pPr/>
      <w:r>
        <w:rPr/>
        <w:t xml:space="preserve">L’instruction n° TECL2518006J du 4 juillet 2025 rappelle la nécessité de porter une attention particulière aux dispositions en vigueur concernant la conformité des systèmes d’assainissement et le respect des exigences réglementaires relatives à la collecte et au traitement des eaux usées urbaines.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220" w:after="240"/>
    </w:pPr>
    <w:rPr>
      <w:rFonts w:ascii="Arial" w:hAnsi="Arial" w:eastAsia="Arial" w:cs="Arial"/>
      <w:color w:val="000000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after="240"/>
    </w:pPr>
    <w:rPr>
      <w:rFonts w:ascii="Arial" w:hAnsi="Arial" w:eastAsia="Arial" w:cs="Arial"/>
      <w:color w:val="000000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240"/>
    </w:pPr>
    <w:rPr>
      <w:rFonts w:ascii="Arial" w:hAnsi="Arial" w:eastAsia="Arial" w:cs="Arial"/>
      <w:color w:val="00000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2026-09-30T01:52:41+02:00</dcterms:created>
  <dcterms:modified xsi:type="dcterms:W3CDTF">2026-09-30T01:52:41+02:00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