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 d'urbanisme. Avis préalables. Communication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S’agissant de l'instruction d'un dossier, le Conseil d’État a considéré que le droit à communication des documents administratifs non nominatifs reconnu par l'article 2 de la loi du 17 juillet 1978 (désormais </w:t>
      </w:r>
      <w:hyperlink r:id="rId7" w:history="1">
        <w:r>
          <w:rPr/>
          <w:t xml:space="preserve">article L 311-2</w:t>
        </w:r>
      </w:hyperlink>
      <w:r>
        <w:rPr/>
        <w:t xml:space="preserve"> du code des relations entre le public et l'administration) ne s'applique pas aux documents qui constituent des éléments d'un dossier devant servir à la prise d'une décision administrative en cours d'élaboration (CE, 30 décembre 1998, </w:t>
      </w:r>
      <w:hyperlink r:id="rId8" w:history="1">
        <w:r>
          <w:rPr/>
          <w:t xml:space="preserve">n° 172761</w:t>
        </w:r>
      </w:hyperlink>
      <w:r>
        <w:rPr/>
        <w:t xml:space="preserve">).</w:t>
      </w:r>
    </w:p>
    <w:p>
      <w:pPr/>
      <w:r>
        <w:rPr/>
        <w:t xml:space="preserve">L'exception relative à la communication des avis préalables, qui permet de se voir communiquer un avis de manière anticipée, ne concerne que les usagers tendant à bénéficier d'une décision individuelle créatrice de droit, et ne concerne donc pas les tiers (</w:t>
      </w:r>
      <w:r>
        <w:rPr>
          <w:i w:val="1"/>
          <w:iCs w:val="1"/>
        </w:rPr>
        <w:t xml:space="preserve">JO </w:t>
      </w:r>
      <w:r>
        <w:rPr/>
        <w:t xml:space="preserve">Sénat, 17.07.2025, question n° 02262, p. 4166).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367700" TargetMode="External"/><Relationship Id="rId8" Type="http://schemas.openxmlformats.org/officeDocument/2006/relationships/hyperlink" Target="https://www.legifrance.gouv.fr/ceta/id/CETATEXT000007985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2025-12-17T08:32:32+01:00</dcterms:created>
  <dcterms:modified xsi:type="dcterms:W3CDTF">2025-12-17T08:32:32+01:00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