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immeubles collectifs. Diagnostic structurel obligatoire. Zones délimitées par délibération du conseil</w:t>
      </w:r>
    </w:p>
    <w:p>
      <w:pPr>
        <w:pStyle w:val="Heading2"/>
      </w:pPr>
      <w:r>
        <w:rPr/>
        <w:t xml:space="preserve">Revue - Vie Communale</w:t>
      </w:r>
    </w:p>
    <w:p>
      <w:pPr>
        <w:pStyle w:val="Heading3"/>
      </w:pPr>
      <w:r>
        <w:rPr/>
        <w:t xml:space="preserve">Source - JO</w:t>
      </w:r>
    </w:p>
    <w:p/>
    <w:p>
      <w:pPr/>
      <w:r>
        <w:rPr/>
        <w:t xml:space="preserve">En application de </w:t>
      </w:r>
      <w:hyperlink r:id="rId7" w:history="1">
        <w:r>
          <w:rPr/>
          <w:t xml:space="preserve">l’article L 126-6-1</w:t>
        </w:r>
      </w:hyperlink>
      <w:r>
        <w:rPr/>
        <w:t xml:space="preserve"> du code de la construction et de l’habitation, le décret n° 2025-814 du 12 août 2025 fixe les règles de mise en œuvre du diagnostic structurel des bâtiments d’habitation collectifs, précisant son contenu, les compétences et assurances requises des diagnostiqueurs, ainsi que les obligations de notification et de transmission.</w:t>
      </w:r>
    </w:p>
    <w:p>
      <w:pPr/>
      <w:r>
        <w:rPr/>
        <w:t xml:space="preserve">Les communes peuvent délimiter, par délibération du conseil municipal, les secteurs concernés, notifient les propriétaires ou syndics, et disposent d’un pouvoir de réalisation d’office avec recouvrement des frais. Le rapport établi par le diagnostiqueur doit notamment inclure la description du bâti, les désordres constatés et les recommandations. </w:t>
      </w:r>
    </w:p>
    <w:p>
      <w:pPr/>
      <w:r>
        <w:rPr/>
        <w:t xml:space="preserve">Le modèle de rapport établi par le professionnel réalisant le diagnostic structurel des bâtiments d'habitation collectifs figure en annexe </w:t>
      </w:r>
      <w:hyperlink r:id="rId8" w:history="1">
        <w:r>
          <w:rPr/>
          <w:t xml:space="preserve">d'un arrêté du 22 août 2025</w:t>
        </w:r>
      </w:hyperlink>
      <w:r>
        <w:rPr/>
        <w:t xml:space="preserve">. </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FF50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4096&amp;idArticle=LEGIARTI000049395178&amp;dateTexte=&amp;categorieLien=cid" TargetMode="External"/><Relationship Id="rId8" Type="http://schemas.openxmlformats.org/officeDocument/2006/relationships/hyperlink" Target="https://www.legifrance.gouv.fr/jorf/id/JORFTEXT000052156903" TargetMode="External"/><Relationship Id="rId9" Type="http://schemas.openxmlformats.org/officeDocument/2006/relationships/hyperlink" Target="https://www.importtypo3.fr/bases-de-donnees-juridiques/la-vie-communale?sharedDocName=securite-des-immeubles-collectifs-diagnostic-structurel-obligatoire-zones-delimitees-par-deliberation-du-conseil&amp;sharedDocUid=52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2026-05-16T02:58:43+02:00</dcterms:created>
  <dcterms:modified xsi:type="dcterms:W3CDTF">2026-05-16T02:58:43+02:00</dcterms:modified>
</cp:coreProperties>
</file>

<file path=docProps/custom.xml><?xml version="1.0" encoding="utf-8"?>
<Properties xmlns="http://schemas.openxmlformats.org/officeDocument/2006/custom-properties" xmlns:vt="http://schemas.openxmlformats.org/officeDocument/2006/docPropsVTypes"/>
</file>