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passation. Appréciation des candidatures. Références concernant des marchés de nature différente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doit contrôler les garanties professionnelles, techniques et financières des candidats à l'attribution d'un marché public et cette vérification s'effectue au vu des seuls renseignements ou documents prévus par la réglementation.</w:t>
      </w:r>
    </w:p>
    <w:p>
      <w:pPr/>
      <w:r>
        <w:rPr/>
        <w:t xml:space="preserve">Les documents ou renseignements exigés à l'appui des candidatures doivent être objectivement rendus nécessaires par l'objet du marché et la nature des prestations à réaliser.</w:t>
      </w:r>
    </w:p>
    <w:p>
      <w:pPr/>
      <w:r>
        <w:rPr/>
        <w:t xml:space="preserve">En l'espèce, la société attributaire a présenté un dossier de candidature comportant une liste de dix références exécutées dans les trois dernières années permettant à la collectivité de contrôler ses garanties professionnelles, techniques et financières. Si ces références ne concernaient pas l'exécution de marchés de même nature que celui en litige, cette circonstance ne pouvait justifier, à elle seule, l'élimination de sa candidature (CAA Versailles, 17 avril 2025, </w:t>
      </w:r>
      <w:r>
        <w:rPr>
          <w:i w:val="1"/>
          <w:iCs w:val="1"/>
        </w:rPr>
        <w:t xml:space="preserve">société Europe Expert Conseil Ingénierie</w:t>
      </w:r>
      <w:r>
        <w:rPr/>
        <w:t xml:space="preserve">, n° 22VE01919).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2026-02-14T03:14:02+01:00</dcterms:created>
  <dcterms:modified xsi:type="dcterms:W3CDTF">2026-02-14T03:14:02+01:00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