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Catastrophes naturelles. Franchise d'assurance applicable aux collectivités territoriales et leurs groupements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2025-613 du 1</w:t>
      </w:r>
      <w:r>
        <w:rPr>
          <w:vertAlign w:val="superscript"/>
        </w:rPr>
        <w:t xml:space="preserve">er</w:t>
      </w:r>
      <w:r>
        <w:rPr/>
        <w:t xml:space="preserve"> juillet 2025 et </w:t>
      </w:r>
      <w:hyperlink r:id="rId7" w:history="1">
        <w:r>
          <w:rPr/>
          <w:t xml:space="preserve">un arrêté</w:t>
        </w:r>
      </w:hyperlink>
      <w:r>
        <w:rPr/>
        <w:t xml:space="preserve"> du même jour modifient les franchises minimales obligatoires applicables aux contrats d’assurance souscrits par les collectivités territoriales et leurs groupements en matière de dommages matériels directs causés par des catastrophes naturelles.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836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2025-12-18T15:45:20+01:00</dcterms:created>
  <dcterms:modified xsi:type="dcterms:W3CDTF">2025-12-18T15:45:20+01:00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