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Politique de la ville. Compétence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pilotage de la politique de la ville est une compétence obligatoire des intercommunalités urbaines (agglomérations, communautés urbaines et métropoles).</w:t>
      </w:r>
    </w:p>
    <w:p>
      <w:pPr/>
      <w:hyperlink r:id="rId7" w:history="1">
        <w:r>
          <w:rPr/>
          <w:t xml:space="preserve">L'article L 5216-5</w:t>
        </w:r>
      </w:hyperlink>
      <w:r>
        <w:rPr/>
        <w:t xml:space="preserve"> du CGCT dispose que « la communauté d'agglomération exerce de plein droit au lieu et place des communes membres (...) les compétences en matière de politique de la ville : élaboration du diagnostic du territoire et définition des orientations du contrat de ville ; animation et coordination des dispositifs contractuels de développement urbain, de développement local et d'insertion économique et sociale ainsi que des dispositifs locaux de prévention de la délinquance ; programmes d'actions définis dans le contrat de ville ».</w:t>
      </w:r>
    </w:p>
    <w:p>
      <w:pPr/>
      <w:hyperlink r:id="rId8" w:history="1">
        <w:r>
          <w:rPr/>
          <w:t xml:space="preserve">L'article 6</w:t>
        </w:r>
      </w:hyperlink>
      <w:r>
        <w:rPr/>
        <w:t xml:space="preserve"> de la loi du 21 février 2014 de programmation pour la ville et la cohésion urbaine dispose que la « politique de la ville est mise en oeuvre par des contrats de ville conclus à l'échelle intercommunale entre, d'une part, l'État</w:t>
      </w:r>
      <w:r>
        <w:rPr>
          <w:rFonts w:ascii="&quot;Calibri&quot;" w:hAnsi="&quot;Calibri&quot;" w:eastAsia="&quot;Calibri&quot;" w:cs="&quot;Calibri&quot;"/>
          <w:sz w:val="22"/>
          <w:szCs w:val="22"/>
        </w:rPr>
        <w:t xml:space="preserve"> </w:t>
      </w:r>
      <w:r>
        <w:rPr/>
        <w:t xml:space="preserve">et ses établissements publics et, d'autre part, les communes et EPCI à fiscalité propre concernés » (EPCI-FP).</w:t>
      </w:r>
    </w:p>
    <w:p>
      <w:pPr/>
      <w:r>
        <w:rPr/>
        <w:t xml:space="preserve">La commune, quant à elle, met en oeuvre les actions du contrat de ville sur son territoire. La loi précise les hypothèses dans lesquelles un EPCI-FP, et notamment une communauté d'agglomération, peut déléguer à l'une de ses communes membres tout ou partie d'une de ses compétences (</w:t>
      </w:r>
      <w:hyperlink r:id="rId9" w:history="1">
        <w:r>
          <w:rPr/>
          <w:t xml:space="preserve">art. L 1111-8 et s.</w:t>
        </w:r>
      </w:hyperlink>
      <w:r>
        <w:rPr/>
        <w:t xml:space="preserve"> et </w:t>
      </w:r>
      <w:hyperlink r:id="rId7" w:history="1">
        <w:r>
          <w:rPr/>
          <w:t xml:space="preserve">L 5216-5</w:t>
        </w:r>
      </w:hyperlink>
      <w:r>
        <w:rPr/>
        <w:t xml:space="preserve"> du CGCT) (</w:t>
      </w:r>
      <w:r>
        <w:rPr>
          <w:i w:val="1"/>
          <w:iCs w:val="1"/>
        </w:rPr>
        <w:t xml:space="preserve">JO </w:t>
      </w:r>
      <w:r>
        <w:rPr/>
        <w:t xml:space="preserve">Sénat, 05.06.2025, question n° 01596, p. 2981).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0287" TargetMode="External"/><Relationship Id="rId8" Type="http://schemas.openxmlformats.org/officeDocument/2006/relationships/hyperlink" Target="https://www.legifrance.gouv.fr/loda/article_lc/LEGIARTI000050505640" TargetMode="External"/><Relationship Id="rId9" Type="http://schemas.openxmlformats.org/officeDocument/2006/relationships/hyperlink" Target="https://www.legifrance.gouv.fr/codes/section_lc/LEGITEXT000006070633/LEGISCTA000045199295/#LEGISCTA000045199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2025-12-17T08:32:12+01:00</dcterms:created>
  <dcterms:modified xsi:type="dcterms:W3CDTF">2025-12-17T08:32:12+01:00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