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Arrêtés anti-pesticides. Incompétence du maire</w:t>
      </w:r>
    </w:p>
    <w:p>
      <w:pPr>
        <w:pStyle w:val="Heading2"/>
      </w:pPr>
      <w:r>
        <w:rPr/>
        <w:t xml:space="preserve">Revue - Vie Communale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La police spéciale des produits phytopharmaceutiques est confiée exclusivement à l’État. Les préfets sont compétents localement dans ce cadre. Le maire ne peut édicter une réglementation portant sur les conditions générales d’utilisation de ces produits et un arrêté municipal visant à réglementer l’utilisation de ces produits est donc pris par une autorité incompétente.</w:t>
      </w:r>
    </w:p>
    <w:p>
      <w:pPr/>
      <w:r>
        <w:rPr/>
        <w:t xml:space="preserve">Les produits phytopharmaceutiques disséminés lors de leur utilisation ne constituent pas des déchets permettant au maire d’intervenir (CE, 16 juin 2025, n° 490161).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2026-09-30T16:36:14+02:00</dcterms:created>
  <dcterms:modified xsi:type="dcterms:W3CDTF">2026-09-30T16:36:14+02:00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