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Non-renouvellement d'un CDD. Réorganisation du service. Non-respect du préavis. Indemnisation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L’administration peut ne pas renouveler un contrat à durée déterminée (CDD) pour un motif d’intérêt du service, notamment en cas de réorganisation. </w:t>
      </w:r>
    </w:p>
    <w:p>
      <w:pPr/>
      <w:r>
        <w:rPr/>
        <w:t xml:space="preserve">En l'espèce, le directeur jeunesse et sports (contractuel) conteste le non-renouvellement de son contrat et réclame une indemnité. La cour confirme que la décision était fondée sur une réorganisation du service, donc conforme à l’intérêt du service.</w:t>
      </w:r>
    </w:p>
    <w:p>
      <w:pPr/>
      <w:r>
        <w:rPr/>
        <w:t xml:space="preserve">Bien que le préavis légal n’ait pas été respecté, l’indemnisation de 1 000 € fixée en première instance est jugée suffisante. Les autres demandes sont rejetées faute de fondement ou de recevabilité (CAA Versailles, 27 mai 2025, n° 23VE02578).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2026-04-01T01:50:55+02:00</dcterms:created>
  <dcterms:modified xsi:type="dcterms:W3CDTF">2026-04-01T01:50:55+02:00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