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Conseil municipal. Propos injurieux d’un élu. Contexte d'un débat politique. Liberté d'expression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 d’un conseil municipal, une conseillère avait qualifié les élus de l'opposition de « honte du genre humain ». La cour d'appel avait confirmé la condamnation à 1 000 € d'amende avec sursis et des dommages-intérêts aux parties civiles.</w:t>
      </w:r>
    </w:p>
    <w:p>
      <w:pPr/>
      <w:r>
        <w:rPr/>
        <w:t xml:space="preserve">Cependant, la Cour de cassation a estimé que les propos, bien qu'outrageants, ne dépassaient pas les limites admissibles de la liberté d'expression dans le contexte d'un débat politique, et a donc annulé l'arrêt de la cour d'appel (Cass., 20 mai 2025, n° 24-81292).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2026-04-01T01:54:46+02:00</dcterms:created>
  <dcterms:modified xsi:type="dcterms:W3CDTF">2026-04-01T01:54:46+02:00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