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post-stationnement. Titre exécutoire et avertissement. Modification des mentions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22 avril 2025 modifie les mentions obligatoires sur les avertissements pour forfait de post-stationnement impayé, ajoutant la date d'envoi de l'avertissement, en vigueur à partir du 1</w:t>
      </w:r>
      <w:r>
        <w:rPr>
          <w:vertAlign w:val="superscript"/>
        </w:rPr>
        <w:t xml:space="preserve">er</w:t>
      </w:r>
      <w:r>
        <w:rPr/>
        <w:t xml:space="preserve"> mai 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2025-12-18T15:47:28+01:00</dcterms:created>
  <dcterms:modified xsi:type="dcterms:W3CDTF">2025-12-18T15:47:28+01:00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