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 d'urbanisme et d'exploitation commerciale (entre le 28.05.2022 et le 28.05.2024). Prorogation des délais de validité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Afin de répondre aux difficultés que connaissent les secteurs du logement et de la construction, le décret n° 2025-461 du 26 mai 2025 porte le délai de validité des autorisations d'urbanisme délivrées entre le 28 mai 2022 et le 28 mai 2024 à 5 ans. </w:t>
      </w:r>
    </w:p>
    <w:p>
      <w:pPr/>
      <w:r>
        <w:rPr/>
        <w:t xml:space="preserve">Il proroge également d'un an le délai de validité des autorisations d'urbanisme délivrées entre le 1</w:t>
      </w:r>
      <w:r>
        <w:rPr>
          <w:vertAlign w:val="superscript"/>
        </w:rPr>
        <w:t xml:space="preserve">er</w:t>
      </w:r>
      <w:r>
        <w:rPr/>
        <w:t xml:space="preserve"> janvier 2021 et le 27 mai 2022. </w:t>
      </w:r>
    </w:p>
    <w:p>
      <w:pPr/>
      <w:r>
        <w:rPr/>
        <w:t xml:space="preserve">Il proroge des mêmes durées les autorisations d'exploitation commerciale (AEC) jointes à ces permis de construire.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2026-05-18T09:17:18+02:00</dcterms:created>
  <dcterms:modified xsi:type="dcterms:W3CDTF">2026-05-18T09:17:18+02:00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