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 municipales. Réforme des modalités de scrutin (communes - de 1 000 hab.)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hyperlink r:id="rId7" w:history="1">
        <w:r>
          <w:rPr/>
          <w:t xml:space="preserve">La loi n° 2025-444</w:t>
        </w:r>
      </w:hyperlink>
      <w:r>
        <w:rPr/>
        <w:t xml:space="preserve"> du 21 mai 2025 visant à harmoniser le mode de scrutin aux élections municipales afin de garantir la vitalité démocratique, la cohésion municipale et la parité a été publiée. Publiée le même jour, </w:t>
      </w:r>
      <w:hyperlink r:id="rId8" w:history="1">
        <w:r>
          <w:rPr/>
          <w:t xml:space="preserve">la loi organique n° 2025-443</w:t>
        </w:r>
      </w:hyperlink>
      <w:r>
        <w:rPr/>
        <w:t xml:space="preserve"> permet de mettre à jour les articles LO du code électoral suite à cette réforme. </w:t>
      </w:r>
    </w:p>
    <w:p>
      <w:pPr/>
      <w:r>
        <w:rPr/>
        <w:t xml:space="preserve">Lors des prochaines élections municipales en mars 2026, s’appliquera un nouveau mode de scrutin pour les communes de moins de 1 000 habitants. Il s’agira désormais d’un scrutin de liste avec application de la parité alternative comme dans les communes de 1 000 habitants et plus.  </w:t>
      </w:r>
    </w:p>
    <w:p>
      <w:pPr/>
      <w:r>
        <w:rPr/>
        <w:t xml:space="preserve">Les nouvelles dispositions seront applicables pour les élections de mars 2026. Les dispositions de la loi relatives aux communes nouvelles sont applicables immédiatement.</w:t>
      </w:r>
    </w:p>
    <w:p>
      <w:pPr>
        <w:numPr>
          <w:ilvl w:val="0"/>
          <w:numId w:val="4"/>
        </w:numPr>
      </w:pPr>
      <w:hyperlink r:id="rId9" w:history="1">
        <w:r>
          <w:rPr/>
          <w:t xml:space="preserve">Lire l'article</w:t>
        </w:r>
      </w:hyperlink>
    </w:p>
    <w:p>
      <w:pPr>
        <w:numPr>
          <w:ilvl w:val="0"/>
          <w:numId w:val="4"/>
        </w:numPr>
      </w:pPr>
      <w:hyperlink r:id="rId10" w:history="1">
        <w:r>
          <w:rPr/>
          <w:t xml:space="preserve">Questions fréquentes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35B8E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loi/2025/5/21/INTX2204085L/jo/texte" TargetMode="External"/><Relationship Id="rId8" Type="http://schemas.openxmlformats.org/officeDocument/2006/relationships/hyperlink" Target="https://www.legifrance.gouv.fr/eli/loi/2025/5/21/INTX2506683L/jo/texte" TargetMode="External"/><Relationship Id="rId9" Type="http://schemas.openxmlformats.org/officeDocument/2006/relationships/hyperlink" Target="https://www.importtypo3.fr/bases-de-donnees-juridiques/la-vie-communale?sharedDocName=reforme-des-modalites-de-scrutin-(communes---de-1-000-hab)&amp;sharedDocUid=51731" TargetMode="External"/><Relationship Id="rId10" Type="http://schemas.openxmlformats.org/officeDocument/2006/relationships/hyperlink" Target="t3://record?identifier=articles&amp;uid=51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2026-07-01T01:44:00+02:00</dcterms:created>
  <dcterms:modified xsi:type="dcterms:W3CDTF">2026-07-01T01:44:00+02:00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