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Assurance décennale. Travaux de construction. Obligation pour les candidats</w:t>
      </w:r>
    </w:p>
    <w:p>
      <w:pPr>
        <w:pStyle w:val="Heading2"/>
      </w:pPr>
      <w:r>
        <w:rPr/>
        <w:t xml:space="preserve">Revue - Marchés Publics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Tout candidat à l’obtention d’un marché public doit être en mesure de justifier qu’il a souscrit un contrat d’assurance le couvrant de la responsabilité décennale (CAA Nancy, 6 mars 2025, </w:t>
      </w:r>
      <w:r>
        <w:rPr>
          <w:i w:val="1"/>
          <w:iCs w:val="1"/>
        </w:rPr>
        <w:t xml:space="preserve">EPAMA</w:t>
      </w:r>
      <w:r>
        <w:rPr/>
        <w:t xml:space="preserve">, n° 24NC03076).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2026-10-01T07:14:47+02:00</dcterms:created>
  <dcterms:modified xsi:type="dcterms:W3CDTF">2026-10-01T07:14:47+02:00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