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Assurance décennale. Travaux de construction. Obligation pour les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Tout candidat à l’obtention d’un marché public doit être en mesure de justifier qu’il a souscrit un contrat d’assurance le couvrant de la responsabilité décennale (CAA Nancy, 6 mars 2025, </w:t>
      </w:r>
      <w:r>
        <w:rPr>
          <w:i w:val="1"/>
          <w:iCs w:val="1"/>
        </w:rPr>
        <w:t xml:space="preserve">EPAMA</w:t>
      </w:r>
      <w:r>
        <w:rPr/>
        <w:t xml:space="preserve">, n° 24NC03076).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2026-04-01T01:50:54+02:00</dcterms:created>
  <dcterms:modified xsi:type="dcterms:W3CDTF">2026-04-01T01:50:54+02:00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