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 fusionnés. Modalités de transfert des biens. Fichier immobilier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système de publicité foncière, issu des décrets n° 55-22 du 4 janvier 1955 et n° 55-1350 du 14 octobre 1955, ne permet pas au service de la publicité foncière (SPF) de porter de lui-même des opérations juridiques, telles des transferts d'immeuble, au fichier immobilier. Ce principe figure à </w:t>
      </w:r>
      <w:hyperlink r:id="rId7" w:history="1">
        <w:r>
          <w:rPr/>
          <w:t xml:space="preserve">l'article 1er</w:t>
        </w:r>
      </w:hyperlink>
      <w:r>
        <w:rPr/>
        <w:t xml:space="preserve"> du décret n° 55-22, selon lequel « le fichier immobilier présente, telle qu'elle résulte des documents publiés, la situation juridique actuelle des immeubles » ; le SPF y répertorie les actes « au fur et à mesure des dépôts ». Le SPF est donc uniquement chargé de la transcription au fichier immobilier des actes qui lui sont présentés. </w:t>
      </w:r>
    </w:p>
    <w:p>
      <w:pPr/>
      <w:r>
        <w:rPr/>
        <w:t xml:space="preserve">La rédaction d'un acte (acte authentique notarié ou administratif) et son dépôt constituent donc des préalables nécessaires à la publication au fichier immobilier des transferts d'immeubles issus de la fusion d'EPCI.</w:t>
      </w:r>
    </w:p>
    <w:p>
      <w:pPr/>
      <w:r>
        <w:rPr>
          <w:b w:val="1"/>
          <w:bCs w:val="1"/>
        </w:rPr>
        <w:t xml:space="preserve">2.</w:t>
      </w:r>
      <w:r>
        <w:rPr/>
        <w:t xml:space="preserve"> S'agissant du coût de la publication au fichier immobilier, l'exemption de perception de taxe de publicité foncière et de contribution de sécurité immobilière est déjà prévue au 10</w:t>
      </w:r>
      <w:r>
        <w:rPr>
          <w:vertAlign w:val="superscript"/>
        </w:rPr>
        <w:t xml:space="preserve">e</w:t>
      </w:r>
      <w:r>
        <w:rPr/>
        <w:t xml:space="preserve"> alinéa du III de </w:t>
      </w:r>
      <w:hyperlink r:id="rId8" w:history="1">
        <w:r>
          <w:rPr/>
          <w:t xml:space="preserve">l'article L 5211-41-3</w:t>
        </w:r>
      </w:hyperlink>
      <w:r>
        <w:rPr/>
        <w:t xml:space="preserve"> du CGCT et à </w:t>
      </w:r>
      <w:hyperlink r:id="rId9" w:history="1">
        <w:r>
          <w:rPr/>
          <w:t xml:space="preserve">l'article 1042 A</w:t>
        </w:r>
      </w:hyperlink>
      <w:r>
        <w:rPr/>
        <w:t xml:space="preserve"> du code général des impôts (</w:t>
      </w:r>
      <w:r>
        <w:rPr>
          <w:i w:val="1"/>
          <w:iCs w:val="1"/>
        </w:rPr>
        <w:t xml:space="preserve">JO </w:t>
      </w:r>
      <w:r>
        <w:rPr/>
        <w:t xml:space="preserve">Sénat, 03.04.2025, question n° 02147, p. 1570).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336529" TargetMode="External"/><Relationship Id="rId8" Type="http://schemas.openxmlformats.org/officeDocument/2006/relationships/hyperlink" Target="https://www.legifrance.gouv.fr/codes/article_lc/LEGIARTI000041410340" TargetMode="External"/><Relationship Id="rId9" Type="http://schemas.openxmlformats.org/officeDocument/2006/relationships/hyperlink" Target="https://www.legifrance.gouv.fr/codes/article_lc/LEGIARTI00002844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2026-05-16T04:35:13+02:00</dcterms:created>
  <dcterms:modified xsi:type="dcterms:W3CDTF">2026-05-16T04:35:13+02:00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