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Litige avec le service assainissement (SPIC). Canalisation endommagée. Ouvrage relevant de ce service (oui)</w:t>
      </w:r>
    </w:p>
    <w:p>
      <w:pPr>
        <w:pStyle w:val="Heading2"/>
      </w:pPr>
      <w:r>
        <w:rPr/>
        <w:t xml:space="preserve">Revue - Intercommunalité</w:t>
      </w:r>
    </w:p>
    <w:p>
      <w:pPr>
        <w:pStyle w:val="Heading3"/>
      </w:pPr>
      <w:r>
        <w:rPr/>
        <w:t xml:space="preserve">Source - Jurisprudence</w:t>
      </w:r>
    </w:p>
    <w:p/>
    <w:p>
      <w:pPr/>
      <w:r>
        <w:rPr/>
        <w:t xml:space="preserve">Les litiges entre le service public industriel et commercial de l'assainissement et ses usagers relèvent de la compétence de la juridiction judiciaire.</w:t>
      </w:r>
    </w:p>
    <w:p>
      <w:pPr/>
      <w:r>
        <w:rPr/>
        <w:t xml:space="preserve">Cela inclut les dommages causés lors de la fourniture du service suite à un vice de conception, à l'exécution de travaux publics ou à l'entretien d'ouvrages publics (CE, 7 février 2025, </w:t>
      </w:r>
      <w:r>
        <w:rPr>
          <w:i w:val="1"/>
          <w:iCs w:val="1"/>
        </w:rPr>
        <w:t xml:space="preserve">M. B. c/Etablissement public territorial de Plaine commune</w:t>
      </w:r>
      <w:r>
        <w:rPr/>
        <w:t xml:space="preserve">, n° 494967).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2026-10-01T05:09:06+02:00</dcterms:created>
  <dcterms:modified xsi:type="dcterms:W3CDTF">2026-10-01T05:09:06+02:00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