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(délégation) de service public Offre irrégulière. Régularisation en cours de négociation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L’autorité concédante peut librement négocier avec les candidats l'ensemble des éléments composant leur offre, dès lors que cette négociation ne conduit pas cette autorité à remettre en cause l'objet de la concession, les critères d'attribution ou les conditions et caractéristiques minimales indiquées dans les documents de la consultation.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Lorsqu’elle recourt à la négociation, l’autorité concédante peut y admette un soumissionnaire ayant remis une offre initiale irrégulière.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Mais un candidat dont la régularisation de l’offre se traduirait par une offre entièrement nouvelle ne peut être retenu en vertu du respect du principe d’égalité de traitement des candidats.</w:t>
      </w:r>
    </w:p>
    <w:p>
      <w:pPr/>
      <w:r>
        <w:rPr/>
        <w:t xml:space="preserve">En tout état de cause, l’autorité concédante est tenue de rejeter les offres qui sont demeurées irrégulières à l’issue de la négociation (CE, 30 décembre 2024, </w:t>
      </w:r>
      <w:r>
        <w:rPr>
          <w:i w:val="1"/>
          <w:iCs w:val="1"/>
        </w:rPr>
        <w:t xml:space="preserve">société Ciné Espace Evasion</w:t>
      </w:r>
      <w:r>
        <w:rPr/>
        <w:t xml:space="preserve">, n° 491266).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2026-08-16T16:46:53+02:00</dcterms:created>
  <dcterms:modified xsi:type="dcterms:W3CDTF">2026-08-16T16:46:53+02:00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