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du CCAS accordant la protection fonctionnelle. Intérêt à agir d’un contribuable communal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contribuable communal peut contester en justice une délibération du CCAS accordant la protection fonctionnelle.</w:t>
      </w:r>
    </w:p>
    <w:p>
      <w:pPr/>
      <w:r>
        <w:rPr>
          <w:b w:val="1"/>
          <w:bCs w:val="1"/>
        </w:rPr>
        <w:t xml:space="preserve">1. </w:t>
      </w:r>
      <w:r>
        <w:rPr/>
        <w:t xml:space="preserve">En l’espèce, la délibération attaquée était celle par laquelle le CCAS accordait la protection fonctionnelle à sa présidente et à sa vice-présidente dans le cadre des poursuites pour harcèlement moral engagées par l’ancien directeur du même établissement.</w:t>
      </w:r>
    </w:p>
    <w:p>
      <w:pPr/>
      <w:r>
        <w:rPr>
          <w:b w:val="1"/>
          <w:bCs w:val="1"/>
        </w:rPr>
        <w:t xml:space="preserve">2.</w:t>
      </w:r>
      <w:r>
        <w:rPr/>
        <w:t xml:space="preserve"> Dès lors que l’équilibre du budget du CCAS est assuré par une subvention du budget communal, la décision litigieuse, mettant à la charge du CCAS des dépenses supplémentaires, a par elle-même une incidence directe sur le budget communal, qui suffit à conférer un intérêt pour agir à un requérant établissant sa qualité de contribuable communal (CE, 20 décembre 2024, </w:t>
      </w:r>
      <w:r>
        <w:rPr>
          <w:i w:val="1"/>
          <w:iCs w:val="1"/>
        </w:rPr>
        <w:t xml:space="preserve">M. C.</w:t>
      </w:r>
      <w:r>
        <w:rPr/>
        <w:t xml:space="preserve">, n° 466130).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2026-02-14T04:48:37+01:00</dcterms:created>
  <dcterms:modified xsi:type="dcterms:W3CDTF">2026-02-14T04:48:37+01:00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