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Permis de construire obtenu par fraude. Possibilité de régularisation (non)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Lorsqu'un permis de construire a été obtenu par fraude, l'illégalité qui en résulte n'est pas de nature à être régularisée par la délivrance d'un permis de construire modificatif (CE, 18 décembre 2024, </w:t>
      </w:r>
      <w:r>
        <w:rPr>
          <w:i w:val="1"/>
          <w:iCs w:val="1"/>
        </w:rPr>
        <w:t xml:space="preserve">commune de Villennes-sur-Seine</w:t>
      </w:r>
      <w:r>
        <w:rPr/>
        <w:t xml:space="preserve">, n° 490711).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2026-09-30T05:56:41+02:00</dcterms:created>
  <dcterms:modified xsi:type="dcterms:W3CDTF">2026-09-30T05:56:41+02:00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