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Vacance au conseil municipal. Suivant de liste. Date à prendre en compte pour apprécier son inéligibilité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La désignation du remplaçant d’un conseiller municipal dont le siège devient vacant, faite en application du 1</w:t>
      </w:r>
      <w:r>
        <w:rPr>
          <w:vertAlign w:val="superscript"/>
        </w:rPr>
        <w:t xml:space="preserve">er</w:t>
      </w:r>
      <w:r>
        <w:rPr/>
        <w:t xml:space="preserve"> alinéa de </w:t>
      </w:r>
      <w:hyperlink r:id="rId7" w:history="1">
        <w:r>
          <w:rPr/>
          <w:t xml:space="preserve">l’article L 270</w:t>
        </w:r>
      </w:hyperlink>
      <w:r>
        <w:rPr/>
        <w:t xml:space="preserve"> du code électoral, résulte de la proclamation du candidat rendue publique par la mention de son nom dans le tableau du conseil municipal.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il résulte de l’instruction que si à la date de la démission de l'élu, sa remplaçante était salariée de la commune, elle ne l’était plus à la date de la proclamation de sa désignation comme conseillère municipale par l’établissement du tableau du conseil municipal comprenant son nom (CE, 29 novembre 2024, </w:t>
      </w:r>
      <w:r>
        <w:rPr>
          <w:i w:val="1"/>
          <w:iCs w:val="1"/>
        </w:rPr>
        <w:t xml:space="preserve">préfet du Nord</w:t>
      </w:r>
      <w:r>
        <w:rPr/>
        <w:t xml:space="preserve">, n° 494063).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2026-02-14T06:20:58+01:00</dcterms:created>
  <dcterms:modified xsi:type="dcterms:W3CDTF">2026-02-14T06:20:58+01:00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