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Agences de l'eau. Nouvelles redevances en 2025. Délibération (oui)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Courrier des lecteurs</w:t>
      </w:r>
    </w:p>
    <w:p/>
    <w:p>
      <w:pPr/>
      <w:r>
        <w:rPr>
          <w:i w:val="1"/>
          <w:iCs w:val="1"/>
        </w:rPr>
        <w:t xml:space="preserve">La commune (ou l'EPCI compétent) doit-elle délibérer concernant les nouvelles redevances pour l'eau et l'assainissement ?</w:t>
      </w:r>
      <w:br/>
      <w:br/>
      <w:br/>
      <w:r>
        <w:rPr>
          <w:b w:val="1"/>
          <w:bCs w:val="1"/>
        </w:rPr>
        <w:t xml:space="preserve">1. </w:t>
      </w:r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janvier 2025, trois nouvelles redevances remplacent les redevances de pollution domestique et de modernisation des réseaux de collecte : </w:t>
      </w:r>
    </w:p>
    <w:p>
      <w:pPr/>
      <w:r>
        <w:rPr/>
        <w:t xml:space="preserve">- une redevance sur la consommation d’eau potable ;</w:t>
      </w:r>
      <w:br/>
      <w:r>
        <w:rPr/>
        <w:t xml:space="preserve"> - deux redevances pour performance (performance des réseaux d’eau potable et performance des systèmes d’assainissement collectif).</w:t>
      </w:r>
    </w:p>
    <w:p>
      <w:pPr/>
      <w:r>
        <w:rPr/>
        <w:t xml:space="preserve">Les factures d'eau émises devront donc comporter les montants des nouvelles redevances.</w:t>
      </w:r>
    </w:p>
    <w:p>
      <w:pPr/>
      <w:r>
        <w:rPr/>
        <w:t xml:space="preserve">Les agences de l'eau ont publié </w:t>
      </w:r>
      <w:hyperlink r:id="rId7" w:history="1">
        <w:r>
          <w:rPr/>
          <w:t xml:space="preserve">une foire aux questions (FAQ)</w:t>
        </w:r>
      </w:hyperlink>
      <w:r>
        <w:rPr/>
        <w:t xml:space="preserve"> sur le sujet.</w:t>
      </w:r>
    </w:p>
    <w:p>
      <w:pPr/>
      <w:r>
        <w:rPr/>
        <w:t xml:space="preserve">Dans la FAQ, il est indiqué que c’est la collectivité qui a la responsabilité d’indiquer à l'opérateur de facturation quelle part du prix de l’eau est à faire figurer sous la forme d’un supplément de prix pour la redevance performance.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Ainsi, avant le 31 décembre 2024, des délibérations sont nécessaires par la commune ou l'EPCI compétent. La FNCCR a réalisé un travail précis et complet en la matière et propose des modèles de délibération (</w:t>
      </w:r>
      <w:hyperlink r:id="rId8" w:history="1">
        <w:r>
          <w:rPr/>
          <w:t xml:space="preserve">en savoir plus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sagencesdeleau.fr/actualites/tout-comprendre-de-la-reforme-des-redevances#:~:text=Les%20redevances%20de%20consommation%20d,'assainissement%20(actuellement%2010%25)." TargetMode="External"/><Relationship Id="rId8" Type="http://schemas.openxmlformats.org/officeDocument/2006/relationships/hyperlink" Target="https://www.fnccr.asso.fr/article/reforme-des-redevances-des-agences-de-le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2026-04-01T03:07:30+02:00</dcterms:created>
  <dcterms:modified xsi:type="dcterms:W3CDTF">2026-04-01T03:07:30+02:00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