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Dispositions réglementaires des livres Ier et II du code général de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2024-1038 du 6 novembre 2024  porte création des livres I</w:t>
      </w:r>
      <w:r>
        <w:rPr>
          <w:vertAlign w:val="superscript"/>
        </w:rPr>
        <w:t xml:space="preserve">er</w:t>
      </w:r>
      <w:r>
        <w:rPr/>
        <w:t xml:space="preserve"> (Droits, obligations et protections) et II (Exercice du droit syndical et dialogue social) de la partie réglementaire du code général de la fonction publique.</w:t>
      </w:r>
    </w:p>
    <w:p>
      <w:pPr/>
      <w:r>
        <w:rPr/>
        <w:t xml:space="preserve">Il modifie notamment les conditions et modalités d'organisation du vote électronique par Internet pour les élections des représentants du personnel au sein d'instances de dialogue social des trois fonctions publiques.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2026-04-01T03:39:11+02:00</dcterms:created>
  <dcterms:modified xsi:type="dcterms:W3CDTF">2026-04-01T03:39:11+02:00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