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Factures de distribution de l’eau. Factures de collecte et de traitement des eaux usées</w:t>
      </w:r>
    </w:p>
    <w:p>
      <w:pPr>
        <w:pStyle w:val="Heading2"/>
      </w:pPr>
      <w:r>
        <w:rPr/>
        <w:t xml:space="preserve">Revue - Intercommunalité</w:t>
      </w:r>
    </w:p>
    <w:p>
      <w:pPr>
        <w:pStyle w:val="Heading3"/>
      </w:pPr>
      <w:r>
        <w:rPr/>
        <w:t xml:space="preserve">Source - JO</w:t>
      </w:r>
    </w:p>
    <w:p/>
    <w:p>
      <w:pPr/>
      <w:r>
        <w:rPr/>
        <w:t xml:space="preserve">Un arrêté du 2 octobre 2024 apporte des modifications s’inscrivant dans le cadre du chantier de la réforme des redevances des agences de l’eau prévues par la loi de finances pour 2024. Elle vise à promouvoir une meilleure performance des services d’eau et d’assainissement pour inciter les collectivités gestionnaires à améliorer leurs infrastructures et ainsi réduire les fuites d’eau potable et les rejets de polluants dans le milieu</w:t>
      </w:r>
    </w:p>
    <w:p>
      <w:pPr>
        <w:numPr>
          <w:ilvl w:val="0"/>
          <w:numId w:val="4"/>
        </w:numPr>
      </w:pPr>
      <w:hyperlink r:id="rId7" w:history="1">
        <w:r>
          <w:rPr>
            <w:i w:val="1"/>
            <w:iCs w:val="1"/>
          </w:rPr>
          <w:t xml:space="preserve">En savoir plus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A607B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ire-info.com/eau-assainissement/redevances-agences-eau-ce-que-change-la-reforme-qui-entrera-en-vigueur-en-2025-article-29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2026-09-30T03:46:20+02:00</dcterms:created>
  <dcterms:modified xsi:type="dcterms:W3CDTF">2026-09-30T03:46:20+02:00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