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Règles relatives au temps de travail. Manquement de l’administration. Préjudice indemnisable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 agent public peut être indemnisé des préjudices résultant d’un manquement de son administration aux règles relatives au temps de travail.</w:t>
      </w:r>
    </w:p>
    <w:p>
      <w:pPr/>
      <w:r>
        <w:rPr/>
        <w:t xml:space="preserve">La méconnaissance des garanties en matière de durée maximale journalière et hebdomadaire de travail et de durée minimale journalière et hebdomadaire de repos est susceptible de porter atteinte à la sécurité et à la santé des intéressés en ce qu’elle les prive du repos auquel ils ont droit.</w:t>
      </w:r>
    </w:p>
    <w:p>
      <w:pPr/>
      <w:r>
        <w:rPr/>
        <w:t xml:space="preserve">Dès lors, cette méconnaissance leur cause, par elle-même et quelles que soient leurs conditions de rémunération, un préjudice dont ils peuvent demander la réparation, indépendamment de celle des autres préjudices qu’ils justifieraient avoir subis à raison de cette privation (CE, 18 juin 2024, </w:t>
      </w:r>
      <w:r>
        <w:rPr>
          <w:i w:val="1"/>
          <w:iCs w:val="1"/>
        </w:rPr>
        <w:t xml:space="preserve">M. B.</w:t>
      </w:r>
      <w:r>
        <w:rPr/>
        <w:t xml:space="preserve">, n° 463484).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2025-12-17T15:22:10+01:00</dcterms:created>
  <dcterms:modified xsi:type="dcterms:W3CDTF">2025-12-17T15:22:10+01:00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