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environnementale. Parc éolien. Evolution des documents d'urbanisme postérieure à la demande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d’Etat déduit du 12° et du 13° du I de </w:t>
      </w:r>
      <w:hyperlink r:id="rId7" w:history="1">
        <w:r>
          <w:rPr/>
          <w:t xml:space="preserve">l'article D 181-15-2</w:t>
        </w:r>
      </w:hyperlink>
      <w:r>
        <w:rPr/>
        <w:t xml:space="preserve"> du code de l'environnement que le dossier de demande d'autorisation environnementale pour une installation terrestre de production d'électricité à partir de l'énergie mécanique du vent doit comprendre un document établi par le pétitionnaire justifiant de la conformité du projet de parc éolien aux documents d'urbanisme en vigueur à la date du dépôt de sa demande.</w:t>
      </w:r>
    </w:p>
    <w:p>
      <w:pPr/>
      <w:r>
        <w:rPr/>
        <w:t xml:space="preserve">Il appartient, le cas échéant, au pétitionnaire, dans le cas où, au cours de l'instruction de sa demande d'autorisation, les documents d'urbanisme applicables font l'objet d'évolutions qui sont de nature à avoir une incidence sur le projet, de compléter son dossier par la production d'un nouveau document justifiant de la conformité du projet aux nouvelles dispositions d'urbanisme, applicables à la date de la décision statuant sur sa demande (CE, 24 juillet 2024, </w:t>
      </w:r>
      <w:r>
        <w:rPr>
          <w:i w:val="1"/>
          <w:iCs w:val="1"/>
        </w:rPr>
        <w:t xml:space="preserve">commune de Plumieux</w:t>
      </w:r>
      <w:r>
        <w:rPr/>
        <w:t xml:space="preserve">, n° 472039).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7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2026-04-01T04:56:52+02:00</dcterms:created>
  <dcterms:modified xsi:type="dcterms:W3CDTF">2026-04-01T04:56:52+02:00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