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r>
        <w:rPr/>
        <w:t xml:space="preserve">Organisation des élections législatives des 30 juin et 7 juillet 2024. Circulaire n° IOMA2415691J du 11 juin 2024</w:t>
      </w:r>
    </w:p>
    <w:p>
      <w:pPr>
        <w:pStyle w:val="Heading2"/>
      </w:pPr>
      <w:r>
        <w:rPr/>
        <w:t xml:space="preserve">Revue - Vie Communale</w:t>
      </w:r>
    </w:p>
    <w:p>
      <w:pPr>
        <w:pStyle w:val="Heading3"/>
      </w:pPr>
      <w:r>
        <w:rPr/>
        <w:t xml:space="preserve">Source - Circulaire</w:t>
      </w:r>
    </w:p>
    <w:p/>
    <w:p>
      <w:pPr/>
      <w:r>
        <w:rPr/>
        <w:t xml:space="preserve">L'instruction n° IOMA2415691J du 11 juin 2024, à destination des préfets et hauts-commissaires en vue de l'organisation des élections législatives de 2024, précise les mesures que les services de l’État seront amenés à prendre avant, pendant et après le scrutin.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before="220" w:after="240"/>
    </w:pPr>
    <w:rPr>
      <w:rFonts w:ascii="Arial" w:hAnsi="Arial" w:eastAsia="Arial" w:cs="Arial"/>
      <w:color w:val="000000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after="240"/>
    </w:pPr>
    <w:rPr>
      <w:rFonts w:ascii="Arial" w:hAnsi="Arial" w:eastAsia="Arial" w:cs="Arial"/>
      <w:color w:val="000000"/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240"/>
    </w:pPr>
    <w:rPr>
      <w:rFonts w:ascii="Arial" w:hAnsi="Arial" w:eastAsia="Arial" w:cs="Arial"/>
      <w:color w:val="000000"/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2026-10-01T00:02:08+02:00</dcterms:created>
  <dcterms:modified xsi:type="dcterms:W3CDTF">2026-10-01T00:02:08+02:00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