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Procédure des biens vacants et sans maître. Contentieux. Compétence du juge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Conseil d'État établit une distinction pour l'indemnisation entre le juge judiciaire et le juge administratif dans le cadre de la procédure des biens vacants et sans maître :</w:t>
      </w:r>
    </w:p>
    <w:p>
      <w:pPr/>
      <w:r>
        <w:rPr/>
        <w:t xml:space="preserve">- relève en principe du juge administratif la demande d'indemnisation formée par la personne qui prétend être propriétaire d'un immeuble présumé sans maître à raison des fautes commises par une personne publique à l'occasion de l'incorporation de cet immeuble dans le domaine communal ;</w:t>
      </w:r>
      <w:br/>
      <w:r>
        <w:rPr/>
        <w:t xml:space="preserve"> - en revanche, la demande tendant à l'indemnisation du préjudice né de la perte du bien lui-même, indemnisable à hauteur de la valeur de cet immeuble, relève, faute d'accord amiable, de la compétence du seul juge judiciaire (CE, 18 mars 2024, </w:t>
      </w:r>
      <w:r>
        <w:rPr>
          <w:i w:val="1"/>
          <w:iCs w:val="1"/>
        </w:rPr>
        <w:t xml:space="preserve">commune de Châtenois</w:t>
      </w:r>
      <w:r>
        <w:rPr/>
        <w:t xml:space="preserve">, n° 474558).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2025-12-17T18:45:47+01:00</dcterms:created>
  <dcterms:modified xsi:type="dcterms:W3CDTF">2025-12-17T18:45:47+01:00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