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de concours. Condition d’éligibilité. Lien avec l’objet du fonds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Afin de financer la réalisation ou le fonctionnement d'un équipement, des fonds de concours peuvent être versés entre la communauté de communes et les communes membres après accords concordants exprimés à la majorité simple du conseil communautaire et des conseils municipaux concernés (</w:t>
      </w:r>
      <w:hyperlink r:id="rId7" w:history="1">
        <w:r>
          <w:rPr/>
          <w:t xml:space="preserve">art. L 5214-16</w:t>
        </w:r>
      </w:hyperlink>
      <w:r>
        <w:rPr/>
        <w:t xml:space="preserve"> du CGCT).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l’espèce, la délibération qui instaure les fonds de concours prévoit des critères d'éligibilité particuliers pour pouvoir en bénéficier. Parmi ces critères, celui relatif au « transfert des résultats d'eau et d'assainissement suite à la prise de compétence de la communauté de communes pour assurer l'exploitation de ces services publics » ne se rattache pas à l'objet du fonds de concours. Il s'ensuit que cette condition est illégale (TA Amiens, 4 octobre 2023, </w:t>
      </w:r>
      <w:r>
        <w:rPr>
          <w:i w:val="1"/>
          <w:iCs w:val="1"/>
        </w:rPr>
        <w:t xml:space="preserve">commune de Miraumont</w:t>
      </w:r>
      <w:r>
        <w:rPr/>
        <w:t xml:space="preserve">, n° 2102861).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2026-04-01T03:09:20+02:00</dcterms:created>
  <dcterms:modified xsi:type="dcterms:W3CDTF">2026-04-01T03:09:20+02:00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