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Gardes champêtres. Revalorisation de la carrière</w:t>
      </w:r>
    </w:p>
    <w:p>
      <w:pPr>
        <w:pStyle w:val="Heading2"/>
      </w:pPr>
      <w:r>
        <w:rPr/>
        <w:t xml:space="preserve">Revue - Pouvoirs de police et sécurité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Le décret n° 2024-282 du 28 mars 2024 aligne la carrière du grade de garde champêtre chef principal sur celle du grade de brigadier-chef principal du cadre d'emplois d'agent de police municipale.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2026-08-15T21:03:30+02:00</dcterms:created>
  <dcterms:modified xsi:type="dcterms:W3CDTF">2026-08-15T21:03:30+02:00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