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globaux de performance énergétique à paiement différé. Etude préalable et étude de soutenabilité budgétaire</w:t>
      </w:r>
    </w:p>
    <w:p>
      <w:pPr>
        <w:pStyle w:val="Heading2"/>
      </w:pPr>
      <w:r>
        <w:rPr/>
        <w:t xml:space="preserve">Revue - Marchés Publics</w:t>
      </w:r>
    </w:p>
    <w:p>
      <w:pPr>
        <w:pStyle w:val="Heading3"/>
      </w:pPr>
      <w:r>
        <w:rPr/>
        <w:t xml:space="preserve">Source - JO</w:t>
      </w:r>
    </w:p>
    <w:p/>
    <w:p>
      <w:pPr/>
      <w:r>
        <w:rPr/>
        <w:t xml:space="preserve">Le décret n° 2023-913 du 3 octobre 2023 est relatif aux marchés globaux de performance énergétique à paiement différé.</w:t>
      </w:r>
    </w:p>
    <w:p>
      <w:pPr/>
      <w:r>
        <w:rPr/>
        <w:t xml:space="preserve">Il précise les conditions de réalisation de l'étude préalable qui doit être effectuée pour justifier le recours à la nouvelle catégorie de marchés globaux de performance créés par la loi n° 2023-222 du 30 mars 2023 et de l'étude de soutenabilité budgétaire qui doit être préparée préalablement à la décision de recourir à ce type de contrat. A cet égard, il définit le contenu de ces études, indique les conditions dans lesquelles l'organisme expert visé au IV de l'article 2 de la loi n° 2023-222 du 30 mars 2023 rend son avis sur l'étude préalable et le ministre du budget le sien sur l'étude de soutenabilité budgétaire et précise leurs conditions de réalisation lorsque le projet en cause résulte d'une mutualisation de projets relevant de plusieurs acheteurs.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2026-02-14T04:37:36+01:00</dcterms:created>
  <dcterms:modified xsi:type="dcterms:W3CDTF">2026-02-14T04:37:36+01:00</dcterms:modified>
</cp:coreProperties>
</file>

<file path=docProps/custom.xml><?xml version="1.0" encoding="utf-8"?>
<Properties xmlns="http://schemas.openxmlformats.org/officeDocument/2006/custom-properties" xmlns:vt="http://schemas.openxmlformats.org/officeDocument/2006/docPropsVTypes"/>
</file>