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Domaine public. Superposition d'affectations. Fossé. Domaine public routier et fluvial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Aucune règle de la domanialité publique ne s'oppose à ce qu'une dépendance du domaine public fasse l'objet d'une superposition d'affectations lorsqu'une affectation supplémentaire est compatible avec son affectation initiale.</w:t>
      </w:r>
    </w:p>
    <w:p>
      <w:pPr/>
      <w:r>
        <w:rPr/>
        <w:t xml:space="preserve">En l’espèce, la circonstance que le fossé en cause constitue l'accessoire d’une voie et relève du domaine public routier ne fait pas par elle-même obstacle à son appartenance au domaine public fluvial en tant qu’il constitue la base d’une digue et, partant, à la compétence de Voies Navigables de France (VNF) pour en autoriser l'occupation et percevoir une redevance (CE, 5 juin 2023, </w:t>
      </w:r>
      <w:r>
        <w:rPr>
          <w:i w:val="1"/>
          <w:iCs w:val="1"/>
        </w:rPr>
        <w:t xml:space="preserve">société CenturyLink Communications France</w:t>
      </w:r>
      <w:r>
        <w:rPr/>
        <w:t xml:space="preserve">, n° 466548).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2026-02-14T06:21:32+01:00</dcterms:created>
  <dcterms:modified xsi:type="dcterms:W3CDTF">2026-02-14T06:21:32+01:00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