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Avenant. Transaction. Mesures préalables de publicité et de mise en concurrence (non)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 avenant ayant le caractère de transaction, il n’a pas à être soumis à des mesures préalables de publicité et de mise en concurrence (CAA Paris, 14 avril 2023, </w:t>
      </w:r>
      <w:r>
        <w:rPr>
          <w:i w:val="1"/>
          <w:iCs w:val="1"/>
        </w:rPr>
        <w:t xml:space="preserve">haut-commissaire de la République en Polynésie française</w:t>
      </w:r>
      <w:r>
        <w:rPr/>
        <w:t xml:space="preserve">, n° 20PA01615).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2026-10-01T08:12:29+02:00</dcterms:created>
  <dcterms:modified xsi:type="dcterms:W3CDTF">2026-10-01T08:12:29+02:00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