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Résiliation. Avances. Remboursement au maître d'ouvrage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  <w:r>
        <w:rPr/>
        <w:t xml:space="preserve"> Lorsque le marché est résilié, le maître d'ouvrage peut obtenir le remboursement de l'avance versée au titulaire du marché ou à son sous-traitant sous réserve des dépenses qu'ils ont exposées et qui correspondent à des prestations prévues au marché et effectivement réalisées (art. 87, 88 du code des marchés publics, dont la substance a été reprise aux articles R 2191-11 et R 2191-12 du code de la commande publique, et 115, dont la substance a été reprise aux articles R 2193-17 et suivants).</w:t>
      </w:r>
    </w:p>
    <w:p>
      <w:pPr/>
      <w:r>
        <w:rPr>
          <w:b w:val="1"/>
          <w:bCs w:val="1"/>
        </w:rPr>
        <w:t xml:space="preserve">2.</w:t>
      </w:r>
      <w:r>
        <w:rPr/>
        <w:t xml:space="preserve"> S'agissant des prestations réalisées par le sous-traitant, il appartient au maître d'ouvrage de consulter le titulaire du marché pour s'assurer que ces conditions sont remplies.</w:t>
      </w:r>
    </w:p>
    <w:p>
      <w:pPr/>
      <w:r>
        <w:rPr>
          <w:b w:val="1"/>
          <w:bCs w:val="1"/>
        </w:rPr>
        <w:t xml:space="preserve">3. </w:t>
      </w:r>
      <w:r>
        <w:rPr/>
        <w:t xml:space="preserve">Lorsque le contrat prévoit l'établissement d'un décompte général et définitif, la créance détenue par le maître de l'ouvrage sur le titulaire de celui-ci ne saurait présenter un caractère certain et exigible et, par suite, faire l'objet d'un titre exécutoire en l'absence d'un tel décompte, même dans l'hypothèse d'une résiliation du marché.</w:t>
      </w:r>
    </w:p>
    <w:p>
      <w:pPr/>
      <w:r>
        <w:rPr>
          <w:b w:val="1"/>
          <w:bCs w:val="1"/>
        </w:rPr>
        <w:t xml:space="preserve">4. </w:t>
      </w:r>
      <w:r>
        <w:rPr/>
        <w:t xml:space="preserve">En revanche, aucun texte ni aucun principe ne subordonne à l'établissement préalable d'un tel décompte l'exigibilité de la créance que détient le maître d'ouvrage sur le sous-traitant, notamment pour le remboursement des avances qu'il a versées à ce dernier (CE, 1</w:t>
      </w:r>
      <w:r>
        <w:rPr>
          <w:vertAlign w:val="superscript"/>
        </w:rPr>
        <w:t xml:space="preserve">er</w:t>
      </w:r>
      <w:r>
        <w:rPr/>
        <w:t xml:space="preserve"> juin 2023, </w:t>
      </w:r>
      <w:r>
        <w:rPr>
          <w:i w:val="1"/>
          <w:iCs w:val="1"/>
        </w:rPr>
        <w:t xml:space="preserve">société Savima</w:t>
      </w:r>
      <w:r>
        <w:rPr/>
        <w:t xml:space="preserve">, n° 462211).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2026-02-14T04:45:56+01:00</dcterms:created>
  <dcterms:modified xsi:type="dcterms:W3CDTF">2026-02-14T04:45:56+01:00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