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l'emploi. Mise à la retraite d'office pour invalidité (oui). Mise à la retraite anticipée à la demande de l'agent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des articles L 29 du code des pensions civiles et militaires de retraite et 30 du décret n° 2003-1306 du 26 décembre 2003 relatif au régime de retraite des fonctionnaires affiliés à la Caisse nationale de retraites des agents des collectivités locales que seule la mise à la retraite d'office constitue un cas de perte involontaire d'emploi pouvant ouvrir droit, pour un agent des collectivités territoriales, lorsque les autres conditions en sont remplies, à une allocation d'assurance telle que prévue à l'article L 5424-1 du code du travail. Par suite, un agent ayant sollicité son admission à la retraite anticipée pour invalidité, qui ne peut être regardé comme ayant été involontairement privé d'emploi, ne peut prétendre à l'allocation de retour à l'emploi (CE, 30 mars 2023, </w:t>
      </w:r>
    </w:p>
    <w:p>
      <w:pPr/>
      <w:r>
        <w:rPr>
          <w:i w:val="1"/>
          <w:iCs w:val="1"/>
        </w:rPr>
        <w:t xml:space="preserve">Mme A. c/département du Var</w:t>
      </w:r>
    </w:p>
    <w:p>
      <w:pPr/>
      <w:r>
        <w:rPr/>
        <w:t xml:space="preserve">, n° 460907).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2026-04-01T03:54:37+02:00</dcterms:created>
  <dcterms:modified xsi:type="dcterms:W3CDTF">2026-04-01T03:54:37+02:00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