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Violation des arrêtés de police du maire. Procès-verbal électronique (non)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Le procès-verbal électroniques (PVe) ne concerne que les infractions faisant l'objet d'une procédure d'amende forfaitaire (</w:t>
      </w:r>
    </w:p>
    <w:p>
      <w:pPr/>
      <w:hyperlink r:id="rId7" w:history="1">
        <w:r>
          <w:rPr/>
          <w:t xml:space="preserve">art. R 48-1</w:t>
        </w:r>
      </w:hyperlink>
    </w:p>
    <w:p>
      <w:pPr/>
      <w:r>
        <w:rPr/>
        <w:t xml:space="preserve">, </w:t>
      </w:r>
    </w:p>
    <w:p>
      <w:pPr/>
      <w:hyperlink r:id="rId8" w:history="1">
        <w:r>
          <w:rPr/>
          <w:t xml:space="preserve">R 49-1</w:t>
        </w:r>
      </w:hyperlink>
    </w:p>
    <w:p>
      <w:pPr/>
      <w:r>
        <w:rPr/>
        <w:t xml:space="preserve"> et </w:t>
      </w:r>
    </w:p>
    <w:p>
      <w:pPr/>
      <w:hyperlink r:id="rId9" w:history="1">
        <w:r>
          <w:rPr/>
          <w:t xml:space="preserve">A 37-19</w:t>
        </w:r>
      </w:hyperlink>
    </w:p>
    <w:p>
      <w:pPr/>
      <w:r>
        <w:rPr/>
        <w:t xml:space="preserve"> du code de procédure pénale). L’usage des PVe pour les infractions à des arrêtés de police du maire n’est pas envisageable car chaque infraction suppose le codage d'un nouveau modèle de PVe et, à l'inverse des infractions déterminées par les lois et règlements nationaux, les arrêtés de police des maires présentent une typologie, une quantité et une qualité trop variables pour permettre à l'Agence nationale de traitement automatisé des infractions (ANTAI) de les prendre en compte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 23.02.2023, question n° 00202, p. 1388).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6490578" TargetMode="External"/><Relationship Id="rId8" Type="http://schemas.openxmlformats.org/officeDocument/2006/relationships/hyperlink" Target="https://www.legifrance.gouv.fr/codes/article_lc/LEGIARTI000022376958/2023-03-25" TargetMode="External"/><Relationship Id="rId9" Type="http://schemas.openxmlformats.org/officeDocument/2006/relationships/hyperlink" Target="https://www.legifrance.gouv.fr/codes/article_lc/LEGIARTI000039081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2026-04-01T05:20:15+02:00</dcterms:created>
  <dcterms:modified xsi:type="dcterms:W3CDTF">2026-04-01T05:20:15+02:00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