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Recensement des chemins ruraux. Contenu du tableau récapitulatif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16 février 2023 précise que le tableau récapitulatif portant recensement des chemins ruraux sur le territoire de la commune mentionné à l'article L 161-6-1 comprend, pour chaque chemin : - l'indication de son numéro ;</w:t>
      </w:r>
    </w:p>
    <w:p/>
    <w:p>
      <w:pPr/>
      <w:r>
        <w:rPr/>
        <w:t xml:space="preserve">- son type : chemin, impasse, tronçon, sentier ;</w:t>
      </w:r>
    </w:p>
    <w:p/>
    <w:p>
      <w:pPr/>
      <w:r>
        <w:rPr/>
        <w:t xml:space="preserve">- la désignation et le géoréférencement du point où il commence et celui où il finit ;</w:t>
      </w:r>
    </w:p>
    <w:p/>
    <w:p>
      <w:pPr/>
      <w:r>
        <w:rPr/>
        <w:t xml:space="preserve">- sa longueur sur le territoire de la commune ;</w:t>
      </w:r>
    </w:p>
    <w:p/>
    <w:p>
      <w:pPr/>
      <w:r>
        <w:rPr/>
        <w:t xml:space="preserve">- la date d'affectation ;</w:t>
      </w:r>
    </w:p>
    <w:p/>
    <w:p>
      <w:pPr/>
      <w:r>
        <w:rPr/>
        <w:t xml:space="preserve">- l'état d'entretien et de conservation. Il peut également mentionner les informations suivantes : - la largeur moyenne ;</w:t>
      </w:r>
    </w:p>
    <w:p/>
    <w:p>
      <w:pPr/>
      <w:r>
        <w:rPr/>
        <w:t xml:space="preserve">- l'estimation de la superficie du chemin ;</w:t>
      </w:r>
    </w:p>
    <w:p/>
    <w:p>
      <w:pPr/>
      <w:r>
        <w:rPr/>
        <w:t xml:space="preserve">- les caractéristiques des tirants pour les ouvrages d'art passant sous les chemins ;</w:t>
      </w:r>
    </w:p>
    <w:p/>
    <w:p>
      <w:pPr/>
      <w:r>
        <w:rPr/>
        <w:t xml:space="preserve">- l'existence de servitudes grevant le chemin ;</w:t>
      </w:r>
    </w:p>
    <w:p/>
    <w:p>
      <w:pPr/>
      <w:r>
        <w:rPr/>
        <w:t xml:space="preserve">- l'existence d'un bornage. Le tableau récapitulatif peut être complété d'une représentation graphique. Il est transmis au conseil départemental.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2026-07-01T09:52:59+02:00</dcterms:created>
  <dcterms:modified xsi:type="dcterms:W3CDTF">2026-07-01T09:52:59+02:00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