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Recours contre un permis modificatif. Intérêt à agir</w:t>
      </w:r>
    </w:p>
    <w:p>
      <w:pPr>
        <w:pStyle w:val="Heading2"/>
      </w:pPr>
      <w:r>
        <w:rPr/>
        <w:t xml:space="preserve">Revue - Urbanisme</w:t>
      </w:r>
    </w:p>
    <w:p>
      <w:pPr>
        <w:pStyle w:val="Heading3"/>
      </w:pPr>
      <w:r>
        <w:rPr/>
        <w:t xml:space="preserve">Source - Jurisprudence</w:t>
      </w:r>
    </w:p>
    <w:p/>
    <w:p>
      <w:pPr/>
      <w:r>
        <w:rPr>
          <w:b w:val="1"/>
          <w:bCs w:val="1"/>
        </w:rPr>
        <w:t xml:space="preserve">1. </w:t>
      </w:r>
    </w:p>
    <w:p>
      <w:pPr/>
      <w:r>
        <w:rPr/>
        <w:t xml:space="preserve">Le Conseil d’Etat a déjà précisé les règles applicables à l’intérêt pour agir contre un permis de construire lorsque le requérant n’a pas contesté le permis initial. Il déduit de l'article L 600-1-2 du code de l'urbanisme qu'il appartient à tout requérant qui saisit le juge administratif d'un recours pour excès de pouvoir tendant à l'annulation d'un permis de construire de préciser l'atteinte qu'il invoque pour justifier d'un intérêt lui donnant qualité pour agir, en faisant état de tous éléments suffisamment précis et étayés de nature à établir que cette atteinte est susceptible d'affecter directement les conditions d'occupation, d'utilisation ou de jouissance de son bien.   Lorsque le requérant, sans avoir contesté le permis initial, forme un recours contre un permis de construire modificatif, son intérêt pour agir doit être apprécié au regard de la portée des modifications apportées par le permis modificatif au projet de construction initialement autorisé (CE, 17 mars 2017, </w:t>
      </w:r>
    </w:p>
    <w:p>
      <w:pPr/>
      <w:hyperlink r:id="rId7" w:history="1">
        <w:r>
          <w:rPr/>
          <w:t xml:space="preserve">commune de La Cadière-d'Azur</w:t>
        </w:r>
      </w:hyperlink>
    </w:p>
    <w:p>
      <w:pPr/>
      <w:r>
        <w:rPr/>
        <w:t xml:space="preserve">, n° 396362).   </w:t>
      </w:r>
    </w:p>
    <w:p>
      <w:pPr/>
      <w:r>
        <w:rPr>
          <w:b w:val="1"/>
          <w:bCs w:val="1"/>
        </w:rPr>
        <w:t xml:space="preserve">2.</w:t>
      </w:r>
    </w:p>
    <w:p>
      <w:pPr/>
      <w:r>
        <w:rPr/>
        <w:t xml:space="preserve"> Il étend cette jurisprudence au cas où le requérant a épuisé les voies de recours contre le permis initial, ainsi devenu définitif. S’il forme un recours contre un permis de construire modificatif, son intérêt pour agir doit être apprécié au regard de la portée des modifications apportées par le permis modificatif au projet de construction initialement autorisé. Cette décision rappelle qu’il appartient dans tous les cas au défendeur, s'il entend contester l'intérêt à agir du requérant, d'apporter tous éléments de nature à établir que les atteintes alléguées sont dépourvues de réalité. Le juge de l'excès de pouvoir apprécie la recevabilité de la requête au vu des éléments ainsi versés au dossier par les parties, en écartant le cas échéant les allégations qu'il jugerait insuffisamment étayées, mais sans pour autant exiger de l'auteur du recours qu'il apporte la preuve du caractère certain des atteintes qu'il invoque au soutien de la recevabilité de celui-ci.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 ou, lorsque le contentieux porte sur un permis de construire modificatif, des modifications apportées au projet (CE, 17 février 2023, </w:t>
      </w:r>
    </w:p>
    <w:p>
      <w:pPr/>
      <w:r>
        <w:rPr>
          <w:i w:val="1"/>
          <w:iCs w:val="1"/>
        </w:rPr>
        <w:t xml:space="preserve">ville de Marseille</w:t>
      </w:r>
    </w:p>
    <w:p>
      <w:pPr/>
      <w:r>
        <w:rPr/>
        <w:t xml:space="preserve">, n° 454284).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342093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2026-02-14T04:48:37+01:00</dcterms:created>
  <dcterms:modified xsi:type="dcterms:W3CDTF">2026-02-14T04:48:37+01:00</dcterms:modified>
</cp:coreProperties>
</file>

<file path=docProps/custom.xml><?xml version="1.0" encoding="utf-8"?>
<Properties xmlns="http://schemas.openxmlformats.org/officeDocument/2006/custom-properties" xmlns:vt="http://schemas.openxmlformats.org/officeDocument/2006/docPropsVTypes"/>
</file>