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 du maire. Paiement d'une amende forfaitaire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La constatation de la violation d'un arrêté de police du maire nécessite un procès-verbal papier dressé par la police municipale, la police nationale ou la gendarmerie.</w:t>
      </w:r>
    </w:p>
    <w:p>
      <w:pPr/>
      <w:hyperlink r:id="rId7" w:history="1">
        <w:r>
          <w:rPr/>
          <w:t xml:space="preserve">L'article R 48-1</w:t>
        </w:r>
      </w:hyperlink>
    </w:p>
    <w:p>
      <w:pPr/>
      <w:r>
        <w:rPr/>
        <w:t xml:space="preserve"> du code de procédure pénale énumère les contraventions des quatre premières classes pour lesquelles l'action publique est éteinte par le paiement d'une amende forfaitaire. L'infraction de « violation d'une interdiction ou manquement à une obligation édictée par décret ou arrêté de police pour assurer la tranquillité, la sécurité ou la salubrité publique », qui sanctionne le non-respect d'un arrêté de police du maire, ne figure pas dans ces dispositions et ne peut donc pas faire l'objet d'une verbalisation par procès-verbal électronique via un terminal NEO. Sa constatation nécessite donc l'établissement d'une procédure par les voies ordinaires, à savoir un procès-verbal papier dressé par la police municipale localement compétente, la police nationale ou la gendarmerie nationale (</w:t>
      </w:r>
    </w:p>
    <w:p>
      <w:pPr/>
      <w:r>
        <w:rPr>
          <w:i w:val="1"/>
          <w:iCs w:val="1"/>
        </w:rPr>
        <w:t xml:space="preserve">JO</w:t>
      </w:r>
    </w:p>
    <w:p>
      <w:pPr/>
      <w:r>
        <w:rPr/>
        <w:t xml:space="preserve"> Sénat, 29.12.2022, question n° 03122, p. 6889).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2026-07-01T03:13:08+02:00</dcterms:created>
  <dcterms:modified xsi:type="dcterms:W3CDTF">2026-07-01T03:13:08+02:00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