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Action en responsabilité. Prescription. Point de départ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Aux termes de l'article 2224 du code civil : « Les actions personnelles ou mobilières se prescrivent par cinq ans à compter du jour où le titulaire d'un droit a connu ou aurait dû connaître les faits lui permettant de l'exercer ». La prescription court à compter de la manifestation du dommage, c'est-à-dire de la date à laquelle la victime a une connaissance suffisamment certaine de l'étendue du dommage, quand bien même le responsable de celui-ci ne serait, à cette date, pas encore déterminé (CE, 10 juin 2022, </w:t>
      </w:r>
    </w:p>
    <w:p>
      <w:pPr/>
      <w:r>
        <w:rPr>
          <w:i w:val="1"/>
          <w:iCs w:val="1"/>
        </w:rPr>
        <w:t xml:space="preserve">commune du Tholonet</w:t>
      </w:r>
    </w:p>
    <w:p>
      <w:pPr/>
      <w:r>
        <w:rPr/>
        <w:t xml:space="preserve">, n° 450675).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2026-10-01T07:13:44+02:00</dcterms:created>
  <dcterms:modified xsi:type="dcterms:W3CDTF">2026-10-01T07:13:44+02:00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