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Frais d’enlèvement de déchets. Procédure contradictoire préalable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de la maire de mettre à la charge du requérant par le titre exécutoire litigieux, le versement de la somme de 153,70 € au titre des frais d'enlèvement et de nettoiement d'un dépôt sauvage (cartons mal présentés devant le domicile du requérant) a été prise dans le cadre de l'exercice de ses pouvoirs de police administrative en matière, notamment, de salubrité publique. L'émission de ce titre exécutoire a ainsi le caractère d'une mesure de police administrative entrant dans la catégorie des décisions administratives individuelles défavorables devant faire l'objet d'une procédure contradictoire préalable en vertu de </w:t>
      </w:r>
    </w:p>
    <w:p>
      <w:pPr/>
      <w:hyperlink r:id="rId7" w:history="1">
        <w:r>
          <w:rPr/>
          <w:t xml:space="preserve">l'article L 121-1</w:t>
        </w:r>
      </w:hyperlink>
    </w:p>
    <w:p>
      <w:pPr/>
      <w:r>
        <w:rPr/>
        <w:t xml:space="preserve"> du code des relations entre le public et l'administration. Il suit de là que la maire ne pouvait émettre le titre exécutoire litigieux sans respecter une procédure contradictoire préalable (CAA Douai,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2022, </w:t>
      </w:r>
    </w:p>
    <w:p>
      <w:pPr/>
      <w:r>
        <w:rPr>
          <w:i w:val="1"/>
          <w:iCs w:val="1"/>
        </w:rPr>
        <w:t xml:space="preserve">maire de Lille</w:t>
      </w:r>
    </w:p>
    <w:p>
      <w:pPr/>
      <w:r>
        <w:rPr/>
        <w:t xml:space="preserve">, n° 21DA00588).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367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2026-04-01T03:54:37+02:00</dcterms:created>
  <dcterms:modified xsi:type="dcterms:W3CDTF">2026-04-01T03:54:37+02:00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