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Lotissement. Raccordements d'eau et d'électricité. Notion d'équipements propres</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w:t>
      </w:r>
    </w:p>
    <w:p>
      <w:pPr/>
      <w:r>
        <w:rPr>
          <w:b w:val="1"/>
          <w:bCs w:val="1"/>
        </w:rPr>
        <w:t xml:space="preserve">2.</w:t>
      </w:r>
    </w:p>
    <w:p>
      <w:pPr/>
      <w:r>
        <w:rPr/>
        <w:t xml:space="preserve"> Par dérogation, l'article L 332-15 (al. 4) prévoit, lorsque les réseaux d'eau et d'électricité n'existent pas au droit de la parcelle du projet, que l'autorisation d'urbanisme peut, sous réserve de l'accord du demandeur et dans les conditions définies par l'autorité organisatrice du service public de l'eau ou de l'électricité, exiger du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w:t>
      </w:r>
    </w:p>
    <w:p>
      <w:pPr/>
      <w:r>
        <w:rPr>
          <w:b w:val="1"/>
          <w:bCs w:val="1"/>
        </w:rPr>
        <w:t xml:space="preserve">3. </w:t>
      </w:r>
    </w:p>
    <w:p>
      <w:pPr/>
      <w:r>
        <w:rPr/>
        <w:t xml:space="preserve">Le Conseil d'État rappelle que des équipements excédant, par leurs caractéristiques et leurs dimensions, les seuls besoins constatés et simultanés du lotissement ne peuvent être qualifiés d'équipements propres et être supportés, même en partie, par le lotisseur (CE, 17 mai 2013, </w:t>
      </w:r>
    </w:p>
    <w:p>
      <w:pPr/>
      <w:hyperlink r:id="rId7" w:history="1">
        <w:r>
          <w:rPr/>
          <w:t xml:space="preserve">société IDE</w:t>
        </w:r>
      </w:hyperlink>
    </w:p>
    <w:p>
      <w:pPr/>
      <w:r>
        <w:rPr/>
        <w:t xml:space="preserve">, n° 337120). Ainsi, les raccordements d'eau et d'électricité ne remplissant pas les deux conditions de l'alinéa 4 de l'article L 332-15, ne peuvent pas être supportés par le lotisseur. Si c'est le cas, celui-ci pourrait alors engager, à tout moment,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17.03.2022, question n° 25051, p. 1457).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7415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2025-12-20T04:29:26+01:00</dcterms:created>
  <dcterms:modified xsi:type="dcterms:W3CDTF">2025-12-20T04:29:26+01:00</dcterms:modified>
</cp:coreProperties>
</file>

<file path=docProps/custom.xml><?xml version="1.0" encoding="utf-8"?>
<Properties xmlns="http://schemas.openxmlformats.org/officeDocument/2006/custom-properties" xmlns:vt="http://schemas.openxmlformats.org/officeDocument/2006/docPropsVTypes"/>
</file>