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Acte de naissance. Parenté transgenre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La Cour d’appel de Toulouse a reconnu le droit pour une femme transgenre, née homme, d’être désignée comme mère dans l’acte de naissance de sa fille biologique (CA Toulouse, 9 février 2022, </w:t>
      </w:r>
    </w:p>
    <w:p>
      <w:pPr/>
      <w:r>
        <w:rPr>
          <w:i w:val="1"/>
          <w:iCs w:val="1"/>
        </w:rPr>
        <w:t xml:space="preserve">Mme C.</w:t>
      </w:r>
    </w:p>
    <w:p>
      <w:pPr/>
      <w:r>
        <w:rPr/>
        <w:t xml:space="preserve">, n° 20/03128).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2026-10-01T16:03:58+02:00</dcterms:created>
  <dcterms:modified xsi:type="dcterms:W3CDTF">2026-10-01T16:03:58+02:00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