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Offre irrégulière. Non-respect du CCTP</w:t>
      </w:r>
    </w:p>
    <w:p>
      <w:pPr>
        <w:pStyle w:val="Heading2"/>
      </w:pPr>
      <w:r>
        <w:rPr/>
        <w:t xml:space="preserve">Revue - Marchés Publics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 Un candidat évincé est fondé à soutenir que l’acheteur devait écarter l’offre retenue comme irrégulière au motif qu’elle n’était pas conforme aux stipulations du cahier des clauses techniques particulières (CAA Versailles, 2 décembre 2021, </w:t>
      </w:r>
    </w:p>
    <w:p>
      <w:pPr/>
      <w:r>
        <w:rPr>
          <w:i w:val="1"/>
          <w:iCs w:val="1"/>
        </w:rPr>
        <w:t xml:space="preserve">société Texabri,</w:t>
      </w:r>
    </w:p>
    <w:p>
      <w:pPr/>
      <w:r>
        <w:rPr/>
        <w:t xml:space="preserve"> n° 19VE02748).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2026-10-01T07:14:21+02:00</dcterms:created>
  <dcterms:modified xsi:type="dcterms:W3CDTF">2026-10-01T07:14:21+02:00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