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Taxe d'aménagement. Valeurs forfaitaires par mètre carré de surface de construction en 2022</w:t>
      </w:r>
    </w:p>
    <w:p>
      <w:pPr>
        <w:pStyle w:val="Heading2"/>
      </w:pPr>
      <w:r>
        <w:rPr/>
        <w:t xml:space="preserve">Revue - Urbanisme</w:t>
      </w:r>
    </w:p>
    <w:p>
      <w:pPr>
        <w:pStyle w:val="Heading3"/>
      </w:pPr>
      <w:r>
        <w:rPr/>
        <w:t xml:space="preserve">Source - JO</w:t>
      </w:r>
    </w:p>
    <w:p/>
    <w:p>
      <w:pPr/>
      <w:r>
        <w:rPr/>
        <w:t xml:space="preserve"> Un arrêté du 29 décembre 2021 est relatif à la révision annuelle des  valeurs forfaitaires par mètre carré de surface de construction  constituant l'assiette de la taxe d'aménagement.  Les valeurs forfaitaires par mètre carré de surface de construction pour la période du 1</w:t>
      </w:r>
    </w:p>
    <w:p>
      <w:pPr/>
      <w:r>
        <w:rPr>
          <w:vertAlign w:val="superscript"/>
        </w:rPr>
        <w:t xml:space="preserve">er</w:t>
      </w:r>
    </w:p>
    <w:p>
      <w:pPr/>
      <w:r>
        <w:rPr/>
        <w:t xml:space="preserve"> janvier 2022 au 31 décembre 2022 sont les suivantes : </w:t>
      </w:r>
    </w:p>
    <w:tbl>
      <w:tblGrid>
        <w:gridCol w:w="120" w:type="dxa"/>
        <w:gridCol w:w="1500" w:type="dxa"/>
        <w:gridCol w:w="300" w:type="dxa"/>
        <w:gridCol w:w="120" w:type="dxa"/>
      </w:tblGrid>
      <w:tblPr>
        <w:tblW w:w="0" w:type="auto"/>
        <w:tblCellSpacing w:w="0" w:type="dxa"/>
        <w:tblLayout w:type="autofit"/>
        <w:tblBorders>
          <w:top w:val="single" w:sz="15"/>
          <w:left w:val="single" w:sz="15"/>
          <w:right w:val="single" w:sz="15"/>
          <w:bottom w:val="single" w:sz="15"/>
          <w:insideH w:val="single" w:sz="15"/>
          <w:insideV w:val="single" w:sz="15"/>
        </w:tblBorders>
      </w:tblPr>
      <w:tr>
        <w:trPr/>
        <w:tc>
          <w:tcPr>
            <w:tcW w:w="120" w:type="dxa"/>
            <w:tcMar>
              <w:top w:w="0" w:type="dxa"/>
              <w:start w:w="108" w:type="dxa"/>
              <w:bottom w:w="0" w:type="dxa"/>
              <w:end w:w="108" w:type="dxa"/>
            </w:tcMar>
            <w:vAlign w:val="top"/>
            <w:noWrap/>
          </w:tcPr>
          <w:p>
            <w:pPr>
              <w:jc w:val="center"/>
              <w:spacing w:after="0" w:line="240" w:lineRule="auto"/>
            </w:pPr>
            <w:r>
              <w:rPr>
                <w:rFonts w:ascii="Roboto" w:hAnsi="Roboto" w:eastAsia="Roboto" w:cs="Roboto"/>
              </w:rPr>
              <w:t xml:space="preserve"> </w:t>
            </w:r>
          </w:p>
        </w:tc>
        <w:tc>
          <w:tcPr>
            <w:tcW w:w="1500" w:type="dxa"/>
            <w:tcMar>
              <w:top w:w="0" w:type="dxa"/>
              <w:start w:w="108" w:type="dxa"/>
              <w:bottom w:w="0" w:type="dxa"/>
              <w:end w:w="108" w:type="dxa"/>
            </w:tcMar>
            <w:noWrap/>
          </w:tcPr>
          <w:p>
            <w:pPr>
              <w:jc w:val="center"/>
              <w:spacing w:after="0" w:line="240" w:lineRule="auto"/>
            </w:pPr>
            <w:br/>
            <w:r>
              <w:rPr>
                <w:rFonts w:ascii="Roboto" w:hAnsi="Roboto" w:eastAsia="Roboto" w:cs="Roboto"/>
                <w:b w:val="1"/>
                <w:bCs w:val="1"/>
              </w:rPr>
              <w:t xml:space="preserve">   Hors Ile-de-France</w:t>
            </w:r>
            <w:br/>
            <w:r>
              <w:rPr>
                <w:rFonts w:ascii="Roboto" w:hAnsi="Roboto" w:eastAsia="Roboto" w:cs="Roboto"/>
                <w:b w:val="1"/>
                <w:bCs w:val="1"/>
              </w:rPr>
              <w:t xml:space="preserve">   </w:t>
            </w:r>
            <w:br/>
            <w:r>
              <w:rPr>
                <w:rFonts w:ascii="Roboto" w:hAnsi="Roboto" w:eastAsia="Roboto" w:cs="Roboto"/>
                <w:b w:val="1"/>
                <w:bCs w:val="1"/>
              </w:rPr>
              <w:t xml:space="preserve">   </w:t>
            </w:r>
          </w:p>
        </w:tc>
        <w:tc>
          <w:tcPr>
            <w:tcW w:w="300" w:type="dxa"/>
            <w:tcMar>
              <w:top w:w="0" w:type="dxa"/>
              <w:start w:w="108" w:type="dxa"/>
              <w:bottom w:w="0" w:type="dxa"/>
              <w:end w:w="108" w:type="dxa"/>
            </w:tcMar>
            <w:noWrap/>
          </w:tcPr>
          <w:p>
            <w:pPr>
              <w:jc w:val="center"/>
              <w:spacing w:after="0" w:line="240" w:lineRule="auto"/>
            </w:pPr>
            <w:r>
              <w:rPr>
                <w:rFonts w:ascii="Roboto" w:hAnsi="Roboto" w:eastAsia="Roboto" w:cs="Roboto"/>
                <w:b w:val="1"/>
                <w:bCs w:val="1"/>
              </w:rPr>
              <w:t xml:space="preserve">Ile-de-France</w:t>
            </w:r>
          </w:p>
        </w:tc>
        <w:tc>
          <w:tcPr>
            <w:tcW w:w="120" w:type="dxa"/>
            <w:tcMar>
              <w:top w:w="0" w:type="dxa"/>
              <w:start w:w="108" w:type="dxa"/>
              <w:bottom w:w="0" w:type="dxa"/>
              <w:end w:w="108" w:type="dxa"/>
            </w:tcMar>
            <w:noWrap/>
          </w:tcPr>
          <w:p>
            <w:pPr>
              <w:jc w:val="center"/>
              <w:spacing w:after="0" w:line="240" w:lineRule="auto"/>
            </w:pPr>
            <w:r>
              <w:rPr>
                <w:rFonts w:ascii="Roboto" w:hAnsi="Roboto" w:eastAsia="Roboto" w:cs="Roboto"/>
                <w:b w:val="1"/>
                <w:bCs w:val="1"/>
              </w:rPr>
              <w:t xml:space="preserve">Indices</w:t>
            </w:r>
          </w:p>
        </w:tc>
      </w:tr>
      <w:tr>
        <w:trPr/>
        <w:tc>
          <w:tcPr>
            <w:tcW w:w="120" w:type="dxa"/>
            <w:tcMar>
              <w:top w:w="0" w:type="dxa"/>
              <w:start w:w="108" w:type="dxa"/>
              <w:bottom w:w="0" w:type="dxa"/>
              <w:end w:w="108" w:type="dxa"/>
            </w:tcMar>
            <w:vAlign w:val="top"/>
            <w:noWrap/>
          </w:tcPr>
          <w:p>
            <w:pPr>
              <w:jc w:val="center"/>
              <w:spacing w:after="0" w:line="240" w:lineRule="auto"/>
            </w:pPr>
            <w:br/>
            <w:r>
              <w:rPr>
                <w:rFonts w:ascii="Roboto" w:hAnsi="Roboto" w:eastAsia="Roboto" w:cs="Roboto"/>
              </w:rPr>
              <w:t xml:space="preserve">   Rappel de la valeur 2011</w:t>
            </w:r>
          </w:p>
        </w:tc>
        <w:tc>
          <w:tcPr>
            <w:tcW w:w="1500" w:type="dxa"/>
            <w:tcMar>
              <w:top w:w="0" w:type="dxa"/>
              <w:start w:w="108" w:type="dxa"/>
              <w:bottom w:w="0" w:type="dxa"/>
              <w:end w:w="108" w:type="dxa"/>
            </w:tcMar>
            <w:noWrap/>
          </w:tcPr>
          <w:p>
            <w:pPr>
              <w:jc w:val="center"/>
              <w:spacing w:after="0" w:line="240" w:lineRule="auto"/>
            </w:pPr>
            <w:br/>
            <w:r>
              <w:rPr>
                <w:rFonts w:ascii="Roboto" w:hAnsi="Roboto" w:eastAsia="Roboto" w:cs="Roboto"/>
              </w:rPr>
              <w:t xml:space="preserve">   660 €</w:t>
            </w:r>
            <w:br/>
            <w:r>
              <w:rPr>
                <w:rFonts w:ascii="Roboto" w:hAnsi="Roboto" w:eastAsia="Roboto" w:cs="Roboto"/>
              </w:rPr>
              <w:t xml:space="preserve">   </w:t>
            </w:r>
            <w:br/>
            <w:r>
              <w:rPr>
                <w:rFonts w:ascii="Roboto" w:hAnsi="Roboto" w:eastAsia="Roboto" w:cs="Roboto"/>
              </w:rPr>
              <w:t xml:space="preserve">   </w:t>
            </w:r>
          </w:p>
        </w:tc>
        <w:tc>
          <w:tcPr>
            <w:tcW w:w="300" w:type="dxa"/>
            <w:tcMar>
              <w:top w:w="0" w:type="dxa"/>
              <w:start w:w="108" w:type="dxa"/>
              <w:bottom w:w="0" w:type="dxa"/>
              <w:end w:w="108" w:type="dxa"/>
            </w:tcMar>
            <w:noWrap/>
          </w:tcPr>
          <w:p>
            <w:pPr>
              <w:jc w:val="center"/>
              <w:spacing w:after="0" w:line="240" w:lineRule="auto"/>
            </w:pPr>
            <w:r>
              <w:rPr>
                <w:rFonts w:ascii="Roboto" w:hAnsi="Roboto" w:eastAsia="Roboto" w:cs="Roboto"/>
              </w:rPr>
              <w:t xml:space="preserve">748 €</w:t>
            </w:r>
          </w:p>
        </w:tc>
        <w:tc>
          <w:tcPr>
            <w:tcW w:w="120" w:type="dxa"/>
            <w:tcMar>
              <w:top w:w="0" w:type="dxa"/>
              <w:start w:w="108" w:type="dxa"/>
              <w:bottom w:w="0" w:type="dxa"/>
              <w:end w:w="108" w:type="dxa"/>
            </w:tcMar>
            <w:noWrap/>
          </w:tcPr>
          <w:p>
            <w:pPr>
              <w:jc w:val="center"/>
              <w:spacing w:after="0" w:line="240" w:lineRule="auto"/>
            </w:pPr>
            <w:r>
              <w:rPr>
                <w:rFonts w:ascii="Roboto" w:hAnsi="Roboto" w:eastAsia="Roboto" w:cs="Roboto"/>
              </w:rPr>
              <w:t xml:space="preserve">1517</w:t>
            </w:r>
          </w:p>
        </w:tc>
      </w:tr>
      <w:tr>
        <w:trPr/>
        <w:tc>
          <w:tcPr>
            <w:tcW w:w="120" w:type="dxa"/>
            <w:tcMar>
              <w:top w:w="0" w:type="dxa"/>
              <w:start w:w="108" w:type="dxa"/>
              <w:bottom w:w="0" w:type="dxa"/>
              <w:end w:w="108" w:type="dxa"/>
            </w:tcMar>
            <w:noWrap/>
          </w:tcPr>
          <w:p>
            <w:pPr>
              <w:jc w:val="center"/>
              <w:spacing w:after="0" w:line="240" w:lineRule="auto"/>
            </w:pPr>
            <w:br/>
            <w:r>
              <w:rPr>
                <w:rFonts w:ascii="Roboto" w:hAnsi="Roboto" w:eastAsia="Roboto" w:cs="Roboto"/>
              </w:rPr>
              <w:t xml:space="preserve">   Valeur 2022 (arrondie à l'euro inférieur)</w:t>
            </w:r>
            <w:br/>
            <w:r>
              <w:rPr>
                <w:rFonts w:ascii="Roboto" w:hAnsi="Roboto" w:eastAsia="Roboto" w:cs="Roboto"/>
              </w:rPr>
              <w:t xml:space="preserve">   </w:t>
            </w:r>
            <w:br/>
            <w:r>
              <w:rPr>
                <w:rFonts w:ascii="Roboto" w:hAnsi="Roboto" w:eastAsia="Roboto" w:cs="Roboto"/>
              </w:rPr>
              <w:t xml:space="preserve">   </w:t>
            </w:r>
          </w:p>
        </w:tc>
        <w:tc>
          <w:tcPr>
            <w:tcW w:w="1500" w:type="dxa"/>
            <w:tcMar>
              <w:top w:w="0" w:type="dxa"/>
              <w:start w:w="108" w:type="dxa"/>
              <w:bottom w:w="0" w:type="dxa"/>
              <w:end w:w="108" w:type="dxa"/>
            </w:tcMar>
            <w:noWrap/>
          </w:tcPr>
          <w:p>
            <w:pPr>
              <w:jc w:val="center"/>
              <w:spacing w:after="0" w:line="240" w:lineRule="auto"/>
            </w:pPr>
            <w:r>
              <w:rPr>
                <w:rFonts w:ascii="Roboto" w:hAnsi="Roboto" w:eastAsia="Roboto" w:cs="Roboto"/>
              </w:rPr>
              <w:t xml:space="preserve">820 €</w:t>
            </w:r>
          </w:p>
        </w:tc>
        <w:tc>
          <w:tcPr>
            <w:tcW w:w="300" w:type="dxa"/>
            <w:tcMar>
              <w:top w:w="0" w:type="dxa"/>
              <w:start w:w="108" w:type="dxa"/>
              <w:bottom w:w="0" w:type="dxa"/>
              <w:end w:w="108" w:type="dxa"/>
            </w:tcMar>
            <w:noWrap/>
          </w:tcPr>
          <w:p>
            <w:pPr>
              <w:jc w:val="center"/>
              <w:spacing w:after="0" w:line="240" w:lineRule="auto"/>
            </w:pPr>
            <w:r>
              <w:rPr>
                <w:rFonts w:ascii="Roboto" w:hAnsi="Roboto" w:eastAsia="Roboto" w:cs="Roboto"/>
              </w:rPr>
              <w:t xml:space="preserve">929 €</w:t>
            </w:r>
          </w:p>
        </w:tc>
        <w:tc>
          <w:tcPr>
            <w:tcW w:w="120" w:type="dxa"/>
            <w:tcMar>
              <w:top w:w="0" w:type="dxa"/>
              <w:start w:w="108" w:type="dxa"/>
              <w:bottom w:w="0" w:type="dxa"/>
              <w:end w:w="108" w:type="dxa"/>
            </w:tcMar>
            <w:noWrap/>
          </w:tcPr>
          <w:p>
            <w:pPr>
              <w:jc w:val="center"/>
              <w:spacing w:after="0" w:line="240" w:lineRule="auto"/>
            </w:pPr>
            <w:r>
              <w:rPr>
                <w:rFonts w:ascii="Roboto" w:hAnsi="Roboto" w:eastAsia="Roboto" w:cs="Roboto"/>
              </w:rPr>
              <w:t xml:space="preserve">1886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2026-09-30T17:42:15+02:00</dcterms:created>
  <dcterms:modified xsi:type="dcterms:W3CDTF">2026-09-30T17:42:15+02:00</dcterms:modified>
</cp:coreProperties>
</file>

<file path=docProps/custom.xml><?xml version="1.0" encoding="utf-8"?>
<Properties xmlns="http://schemas.openxmlformats.org/officeDocument/2006/custom-properties" xmlns:vt="http://schemas.openxmlformats.org/officeDocument/2006/docPropsVTypes"/>
</file>