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Valeurs forfaitaires par mètre carré de surface de construction en 2022</w:t>
      </w:r>
    </w:p>
    <w:p>
      <w:pPr>
        <w:pStyle w:val="Heading2"/>
      </w:pPr>
      <w:r>
        <w:rPr/>
        <w:t xml:space="preserve">Revue - Urbanisme</w:t>
      </w:r>
    </w:p>
    <w:p>
      <w:pPr>
        <w:pStyle w:val="Heading3"/>
      </w:pPr>
      <w:r>
        <w:rPr/>
        <w:t xml:space="preserve">Source - JO</w:t>
      </w:r>
    </w:p>
    <w:p/>
    <w:p>
      <w:pPr/>
      <w:r>
        <w:rPr/>
        <w:t xml:space="preserve"> Un arrêté du 29 décembre 2021 est relatif à la révision annuelle des  valeurs forfaitaires par mètre carré de surface de construction  constituant l'assiette de la taxe d'aménagement.  Les valeurs forfaitaires par mètre carré de surface de construction pour la période du 1</w:t>
      </w:r>
    </w:p>
    <w:p>
      <w:pPr/>
      <w:r>
        <w:rPr>
          <w:vertAlign w:val="superscript"/>
        </w:rPr>
        <w:t xml:space="preserve">er</w:t>
      </w:r>
    </w:p>
    <w:p>
      <w:pPr/>
      <w:r>
        <w:rPr/>
        <w:t xml:space="preserve"> janvier 2022 au 31 décembre 2022 sont les suivantes : </w:t>
      </w:r>
    </w:p>
    <w:tbl>
      <w:tblGrid>
        <w:gridCol w:w="120" w:type="dxa"/>
        <w:gridCol w:w="1500" w:type="dxa"/>
        <w:gridCol w:w="300" w:type="dxa"/>
        <w:gridCol w:w="120" w:type="dxa"/>
      </w:tblGrid>
      <w:tblPr>
        <w:tblW w:w="0" w:type="auto"/>
        <w:tblCellSpacing w:w="0" w:type="dxa"/>
        <w:tblLayout w:type="autofit"/>
        <w:tblBorders>
          <w:top w:val="single" w:sz="15"/>
          <w:left w:val="single" w:sz="15"/>
          <w:right w:val="single" w:sz="15"/>
          <w:bottom w:val="single" w:sz="15"/>
          <w:insideH w:val="single" w:sz="15"/>
          <w:insideV w:val="single" w:sz="15"/>
        </w:tblBorders>
      </w:tblPr>
      <w:tr>
        <w:trPr/>
        <w:tc>
          <w:tcPr>
            <w:tcW w:w="120" w:type="dxa"/>
            <w:tcMar>
              <w:top w:w="0" w:type="dxa"/>
              <w:start w:w="108" w:type="dxa"/>
              <w:bottom w:w="0" w:type="dxa"/>
              <w:end w:w="108" w:type="dxa"/>
            </w:tcMar>
            <w:vAlign w:val="top"/>
            <w:noWrap/>
          </w:tcPr>
          <w:p>
            <w:pPr>
              <w:jc w:val="center"/>
              <w:spacing w:after="0" w:line="240" w:lineRule="auto"/>
            </w:pP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b w:val="1"/>
                <w:bCs w:val="1"/>
              </w:rPr>
              <w:t xml:space="preserve">   Hors Ile-de-France</w:t>
            </w:r>
            <w:br/>
            <w:r>
              <w:rPr>
                <w:rFonts w:ascii="Roboto" w:hAnsi="Roboto" w:eastAsia="Roboto" w:cs="Roboto"/>
                <w:b w:val="1"/>
                <w:bCs w:val="1"/>
              </w:rPr>
              <w:t xml:space="preserve">   </w:t>
            </w:r>
            <w:br/>
            <w:r>
              <w:rPr>
                <w:rFonts w:ascii="Roboto" w:hAnsi="Roboto" w:eastAsia="Roboto" w:cs="Roboto"/>
                <w:b w:val="1"/>
                <w:bCs w:val="1"/>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Ile-de-France</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b w:val="1"/>
                <w:bCs w:val="1"/>
              </w:rPr>
              <w:t xml:space="preserve">Indices</w:t>
            </w:r>
          </w:p>
        </w:tc>
      </w:tr>
      <w:tr>
        <w:trPr/>
        <w:tc>
          <w:tcPr>
            <w:tcW w:w="120" w:type="dxa"/>
            <w:tcMar>
              <w:top w:w="0" w:type="dxa"/>
              <w:start w:w="108" w:type="dxa"/>
              <w:bottom w:w="0" w:type="dxa"/>
              <w:end w:w="108" w:type="dxa"/>
            </w:tcMar>
            <w:vAlign w:val="top"/>
            <w:noWrap/>
          </w:tcPr>
          <w:p>
            <w:pPr>
              <w:jc w:val="center"/>
              <w:spacing w:after="0" w:line="240" w:lineRule="auto"/>
            </w:pPr>
            <w:br/>
            <w:r>
              <w:rPr>
                <w:rFonts w:ascii="Roboto" w:hAnsi="Roboto" w:eastAsia="Roboto" w:cs="Roboto"/>
              </w:rPr>
              <w:t xml:space="preserve">   Rappel de la valeur 2011</w:t>
            </w:r>
          </w:p>
        </w:tc>
        <w:tc>
          <w:tcPr>
            <w:tcW w:w="150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660 €</w:t>
            </w:r>
            <w:br/>
            <w:r>
              <w:rPr>
                <w:rFonts w:ascii="Roboto" w:hAnsi="Roboto" w:eastAsia="Roboto" w:cs="Roboto"/>
              </w:rPr>
              <w:t xml:space="preserve">   </w:t>
            </w:r>
            <w:br/>
            <w:r>
              <w:rPr>
                <w:rFonts w:ascii="Roboto" w:hAnsi="Roboto" w:eastAsia="Roboto" w:cs="Roboto"/>
              </w:rPr>
              <w:t xml:space="preserve">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748 €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1517</w:t>
            </w:r>
          </w:p>
        </w:tc>
      </w:tr>
      <w:tr>
        <w:trPr/>
        <w:tc>
          <w:tcPr>
            <w:tcW w:w="120" w:type="dxa"/>
            <w:tcMar>
              <w:top w:w="0" w:type="dxa"/>
              <w:start w:w="108" w:type="dxa"/>
              <w:bottom w:w="0" w:type="dxa"/>
              <w:end w:w="108" w:type="dxa"/>
            </w:tcMar>
            <w:noWrap/>
          </w:tcPr>
          <w:p>
            <w:pPr>
              <w:jc w:val="center"/>
              <w:spacing w:after="0" w:line="240" w:lineRule="auto"/>
            </w:pPr>
            <w:br/>
            <w:r>
              <w:rPr>
                <w:rFonts w:ascii="Roboto" w:hAnsi="Roboto" w:eastAsia="Roboto" w:cs="Roboto"/>
              </w:rPr>
              <w:t xml:space="preserve">   Valeur 2022 (arrondie à l'euro inférieur)</w:t>
            </w:r>
            <w:br/>
            <w:r>
              <w:rPr>
                <w:rFonts w:ascii="Roboto" w:hAnsi="Roboto" w:eastAsia="Roboto" w:cs="Roboto"/>
              </w:rPr>
              <w:t xml:space="preserve">   </w:t>
            </w:r>
            <w:br/>
            <w:r>
              <w:rPr>
                <w:rFonts w:ascii="Roboto" w:hAnsi="Roboto" w:eastAsia="Roboto" w:cs="Roboto"/>
              </w:rPr>
              <w:t xml:space="preserve">   </w:t>
            </w:r>
          </w:p>
        </w:tc>
        <w:tc>
          <w:tcPr>
            <w:tcW w:w="15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820 €</w:t>
            </w:r>
          </w:p>
        </w:tc>
        <w:tc>
          <w:tcPr>
            <w:tcW w:w="30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929 €</w:t>
            </w:r>
          </w:p>
        </w:tc>
        <w:tc>
          <w:tcPr>
            <w:tcW w:w="120" w:type="dxa"/>
            <w:tcMar>
              <w:top w:w="0" w:type="dxa"/>
              <w:start w:w="108" w:type="dxa"/>
              <w:bottom w:w="0" w:type="dxa"/>
              <w:end w:w="108" w:type="dxa"/>
            </w:tcMar>
            <w:noWrap/>
          </w:tcPr>
          <w:p>
            <w:pPr>
              <w:jc w:val="center"/>
              <w:spacing w:after="0" w:line="240" w:lineRule="auto"/>
            </w:pPr>
            <w:r>
              <w:rPr>
                <w:rFonts w:ascii="Roboto" w:hAnsi="Roboto" w:eastAsia="Roboto" w:cs="Roboto"/>
              </w:rPr>
              <w:t xml:space="preserve">1886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2025-12-20T06:36:05+01:00</dcterms:created>
  <dcterms:modified xsi:type="dcterms:W3CDTF">2025-12-20T06:36:05+01:00</dcterms:modified>
</cp:coreProperties>
</file>

<file path=docProps/custom.xml><?xml version="1.0" encoding="utf-8"?>
<Properties xmlns="http://schemas.openxmlformats.org/officeDocument/2006/custom-properties" xmlns:vt="http://schemas.openxmlformats.org/officeDocument/2006/docPropsVTypes"/>
</file>