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Intérêt pour agir. Appréciation à la date d’affichage du permis. Dérogations en cas de circonstances particulières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Sauf pour le requérant à justifier de circonstances particulières, l'intérêt pour agir contre un permis s'apprécie à la date d'affichage en mairie de la demande du pétitionnaire (art. L 600-1-3 du code de l'urbanisme). Une société devenue propriétaire d'un terrain voisin postérieurement à la délivrance du permis de construire ayant été régulièrement affiché en mairie en demandait l'annulation. La société soutenait notamment que son recours n'avait pour seul but que de mener à bien son propre projet et de préserver ses intérêts, à l'exclusion de toute intention malveillante. Il est jugé que ces circonstances ne sauraient avoir le caractère de circonstances particulières, au sens de l'article L 600-1-3 du code de l'urbanisme. Il en résulte que la demande de la société est irrecevable pour défaut d'intérêt à agir (CE, 13 décembre 2021, </w:t>
      </w:r>
    </w:p>
    <w:p>
      <w:pPr/>
      <w:r>
        <w:rPr>
          <w:i w:val="1"/>
          <w:iCs w:val="1"/>
        </w:rPr>
        <w:t xml:space="preserve">société Ocean's Dream Resort</w:t>
      </w:r>
    </w:p>
    <w:p>
      <w:pPr/>
      <w:r>
        <w:rPr/>
        <w:t xml:space="preserve">, n° 450241).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2026-10-01T04:27:48+02:00</dcterms:created>
  <dcterms:modified xsi:type="dcterms:W3CDTF">2026-10-01T04:27:48+02:00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