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Validité d'un contrat. Vice du consentement. Contrôle du juge de cassation : qualification juridique des faits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Pour un vice de consentement de nature à affecter la validité d'un  contrat, le juge de cassation exerce un contrôle de qualification  juridique des faits (CE, 9 novembre 2021, </w:t>
      </w:r>
    </w:p>
    <w:p>
      <w:pPr/>
      <w:r>
        <w:rPr>
          <w:i w:val="1"/>
          <w:iCs w:val="1"/>
        </w:rPr>
        <w:t xml:space="preserve">SNCF Réseau</w:t>
      </w:r>
    </w:p>
    <w:p>
      <w:pPr/>
      <w:r>
        <w:rPr/>
        <w:t xml:space="preserve">, n° 438388).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2026-09-30T18:50:11+02:00</dcterms:created>
  <dcterms:modified xsi:type="dcterms:W3CDTF">2026-09-30T18:50:11+02:00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