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Validité d'un contrat. Vice du consentement. Contrôle du juge de cassation : qualification juridique des faits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Pour un vice de consentement de nature à affecter la validité d'un  contrat, le juge de cassation exerce un contrôle de qualification  juridique des faits (CE, 9 novembre 2021, </w:t>
      </w:r>
    </w:p>
    <w:p>
      <w:pPr/>
      <w:r>
        <w:rPr>
          <w:i w:val="1"/>
          <w:iCs w:val="1"/>
        </w:rPr>
        <w:t xml:space="preserve">SNCF Réseau</w:t>
      </w:r>
    </w:p>
    <w:p>
      <w:pPr/>
      <w:r>
        <w:rPr/>
        <w:t xml:space="preserve">, n° 438388).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2026-08-16T07:01:49+02:00</dcterms:created>
  <dcterms:modified xsi:type="dcterms:W3CDTF">2026-08-16T07:01:49+02:00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