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Reconstruction. Calcul de la taxe d’aménagement. Prise en compte de la totalité de la surface de la construction nouvelle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Il résulte des articles L 331-1, L 331-6 et L 331-10 du code de l'urbanisme que la taxe d'aménagement est assise sur la surface de la construction créée à l'occasion de toute opération de construction, de reconstruction ou d'agrandissement de bâtiments. Doit être regardée comme une reconstruction, une opération comportant la construction de nouveaux bâtiments à la suite de la démolition totale des bâtiments existants. Dans ce cas, la taxe d'aménagement est assise sur la totalité de la surface de la construction nouvelle, sans qu'il y ait lieu d'en déduire la surface supprimée (CE, 25 mars 2021, </w:t>
      </w:r>
    </w:p>
    <w:p>
      <w:pPr/>
      <w:r>
        <w:rPr>
          <w:i w:val="1"/>
          <w:iCs w:val="1"/>
        </w:rPr>
        <w:t xml:space="preserve">SCCV Villa Florence</w:t>
      </w:r>
    </w:p>
    <w:p>
      <w:pPr/>
      <w:r>
        <w:rPr/>
        <w:t xml:space="preserve">, n° 431603).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2026-09-30T18:51:47+02:00</dcterms:created>
  <dcterms:modified xsi:type="dcterms:W3CDTF">2026-09-30T18:51:47+02:00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