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Retard dans le démarrage des travaux. Absence d'ordre de service. Résiliation par le titulaire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titulaire du marché peut demander la résiliation avant tout commencement d'exécution en raison du retard mis à lui notifier l'ordre de service de commencer les travaux (art. 46.2.1 - désormais 50.2.1 - du CCAG applicable aux marchés publics de travaux auquel renvoie l'acte d'engagement en l’espèce)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(CAA Marseille, 23 septembre 2021, </w:t>
      </w:r>
    </w:p>
    <w:p>
      <w:pPr/>
      <w:r>
        <w:rPr>
          <w:i w:val="1"/>
          <w:iCs w:val="1"/>
        </w:rPr>
        <w:t xml:space="preserve">société Can</w:t>
      </w:r>
    </w:p>
    <w:p>
      <w:pPr/>
      <w:r>
        <w:rPr/>
        <w:t xml:space="preserve">, n° 21MA00535).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2026-07-01T04:45:13+02:00</dcterms:created>
  <dcterms:modified xsi:type="dcterms:W3CDTF">2026-07-01T04:45:13+02:00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