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Retard dans le démarrage des travaux. Absence d'ordre de service. Résiliation par le titulaire (oui)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 titulaire du marché peut demander la résiliation avant tout commencement d'exécution en raison du retard mis à lui notifier l'ordre de service de commencer les travaux (art. 46.2.1 - désormais 50.2.1 - du CCAG applicable aux marchés publics de travaux auquel renvoie l'acte d'engagement en l’espèce)</w:t>
      </w:r>
    </w:p>
    <w:p>
      <w:pPr/>
      <w:r>
        <w:rPr>
          <w:i w:val="1"/>
          <w:iCs w:val="1"/>
        </w:rPr>
        <w:t xml:space="preserve"> </w:t>
      </w:r>
    </w:p>
    <w:p>
      <w:pPr/>
      <w:r>
        <w:rPr/>
        <w:t xml:space="preserve">(CAA Marseille, 23 septembre 2021, </w:t>
      </w:r>
    </w:p>
    <w:p>
      <w:pPr/>
      <w:r>
        <w:rPr>
          <w:i w:val="1"/>
          <w:iCs w:val="1"/>
        </w:rPr>
        <w:t xml:space="preserve">société Can</w:t>
      </w:r>
    </w:p>
    <w:p>
      <w:pPr/>
      <w:r>
        <w:rPr/>
        <w:t xml:space="preserve">, n° 21MA00535).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2026-10-01T06:19:01+02:00</dcterms:created>
  <dcterms:modified xsi:type="dcterms:W3CDTF">2026-10-01T06:19:01+02:00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