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de communautés. Restitution de compétences à certaines communes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 la suite d’une fusion, un EPCI a décidé de restituer la compétence  supplémentaire « activités périscolaires » à une seule commune membre  sans la restituer aux autres. En cas de fusion, les compétences transférées à titre supplémentaire  sont exercées par le nouvel EPCI à fiscalité propre sur l'ensemble de  son périmètre pendant un délai maximum de 2 ans à l'issue duquel  certaines de ces compétences peuvent être restituées en tout ou en  partie aux communes membres (art. L 5211- 41-3 du CGCT). Ces dispositions n'ont toutefois ni pour objet ni pour effet de  permettre la restitution totale ou partielle d'une compétence  supplémentaire à l'une seulement des communes. La délibération est donc  annulée (CAA Bordeaux,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2021, </w:t>
      </w:r>
    </w:p>
    <w:p>
      <w:pPr/>
      <w:r>
        <w:rPr>
          <w:i w:val="1"/>
          <w:iCs w:val="1"/>
        </w:rPr>
        <w:t xml:space="preserve">commune de Saint-Martin-La-Pallu</w:t>
      </w:r>
    </w:p>
    <w:p>
      <w:pPr/>
      <w:r>
        <w:rPr/>
        <w:t xml:space="preserve">, n° 19BX00682).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2026-07-01T01:44:00+02:00</dcterms:created>
  <dcterms:modified xsi:type="dcterms:W3CDTF">2026-07-01T01:44:00+02:00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