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Péremption d’un permis. Travaux illégaux. Interruption du délai (non)</w:t>
      </w:r>
    </w:p>
    <w:p>
      <w:pPr>
        <w:pStyle w:val="Heading2"/>
      </w:pPr>
      <w:r>
        <w:rPr/>
        <w:t xml:space="preserve">Revue - Urbanisme</w:t>
      </w:r>
    </w:p>
    <w:p>
      <w:pPr>
        <w:pStyle w:val="Heading3"/>
      </w:pPr>
      <w:r>
        <w:rPr/>
        <w:t xml:space="preserve">Source - Jurisprudence</w:t>
      </w:r>
    </w:p>
    <w:p/>
    <w:p>
      <w:pPr/>
      <w:r>
        <w:rPr>
          <w:b w:val="1"/>
          <w:bCs w:val="1"/>
          <w:i w:val="1"/>
          <w:iCs w:val="1"/>
        </w:rPr>
        <w:t xml:space="preserve">Des travaux illégaux n’interrompent pas le délai de péremption d’un permis. </w:t>
      </w:r>
    </w:p>
    <w:p>
      <w:pPr/>
      <w:r>
        <w:rPr/>
        <w:t xml:space="preserve"> En l’espèce, le requérant ne saurait utilement se prévaloir des   travaux de pose de deux portails et d'une clôture de couleur blanche dès   lors qu'ils n'étaient pas autorisés par le permis qui prévoyait la  pose  d'une haie vive en bordure et d'un seul portail en bois ajouré (CAA Nantes, 15 janvier 2021, </w:t>
      </w:r>
    </w:p>
    <w:p>
      <w:pPr/>
      <w:r>
        <w:rPr>
          <w:i w:val="1"/>
          <w:iCs w:val="1"/>
        </w:rPr>
        <w:t xml:space="preserve">M. B.</w:t>
      </w:r>
    </w:p>
    <w:p>
      <w:pPr/>
      <w:r>
        <w:rPr/>
        <w:t xml:space="preserve">, n° 19NT04829).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2026-02-14T06:21:36+01:00</dcterms:created>
  <dcterms:modified xsi:type="dcterms:W3CDTF">2026-02-14T06:21:36+01:00</dcterms:modified>
</cp:coreProperties>
</file>

<file path=docProps/custom.xml><?xml version="1.0" encoding="utf-8"?>
<Properties xmlns="http://schemas.openxmlformats.org/officeDocument/2006/custom-properties" xmlns:vt="http://schemas.openxmlformats.org/officeDocument/2006/docPropsVTypes"/>
</file>